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67FA" w:rsidRPr="00915A2E" w:rsidRDefault="009867FA" w:rsidP="00915A2E">
      <w:pPr>
        <w:tabs>
          <w:tab w:val="left" w:pos="1985"/>
        </w:tabs>
        <w:spacing w:afterLines="50" w:after="120"/>
        <w:rPr>
          <w:rFonts w:ascii="Times New Roman" w:hAnsi="Times New Roman" w:cs="Times New Roman"/>
          <w:b/>
          <w:sz w:val="24"/>
        </w:rPr>
      </w:pPr>
      <w:r w:rsidRPr="00915A2E">
        <w:rPr>
          <w:rFonts w:ascii="Times New Roman" w:hAnsi="Times New Roman" w:cs="Times New Roman"/>
          <w:b/>
          <w:sz w:val="24"/>
        </w:rPr>
        <w:t>3GPP TSG-RAN WG4 Meeting # 99-e</w:t>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00BF4794" w:rsidRPr="00BF4794">
        <w:rPr>
          <w:rFonts w:ascii="Times New Roman" w:hAnsi="Times New Roman" w:cs="Times New Roman"/>
          <w:b/>
          <w:sz w:val="24"/>
        </w:rPr>
        <w:t>R4-2110069</w:t>
      </w:r>
    </w:p>
    <w:p w:rsidR="009867FA" w:rsidRPr="00915A2E" w:rsidRDefault="009867FA" w:rsidP="00915A2E">
      <w:pPr>
        <w:tabs>
          <w:tab w:val="left" w:pos="1985"/>
        </w:tabs>
        <w:spacing w:afterLines="50" w:after="120"/>
        <w:rPr>
          <w:rFonts w:ascii="Times New Roman" w:hAnsi="Times New Roman" w:cs="Times New Roman"/>
          <w:b/>
          <w:sz w:val="24"/>
        </w:rPr>
      </w:pPr>
      <w:r w:rsidRPr="00915A2E">
        <w:rPr>
          <w:rFonts w:ascii="Times New Roman" w:hAnsi="Times New Roman" w:cs="Times New Roman"/>
          <w:b/>
          <w:sz w:val="24"/>
        </w:rPr>
        <w:t>Electronic Meeting, May. 19-27, 2021</w:t>
      </w:r>
    </w:p>
    <w:p w:rsidR="009867FA" w:rsidRPr="00915A2E" w:rsidRDefault="009867FA" w:rsidP="00915A2E">
      <w:pPr>
        <w:tabs>
          <w:tab w:val="left" w:pos="1985"/>
        </w:tabs>
        <w:spacing w:afterLines="50" w:after="120"/>
        <w:rPr>
          <w:rFonts w:ascii="Times New Roman" w:hAnsi="Times New Roman" w:cs="Times New Roman"/>
          <w:sz w:val="24"/>
          <w:lang w:eastAsia="ja-JP"/>
        </w:rPr>
      </w:pPr>
      <w:r w:rsidRPr="00915A2E">
        <w:rPr>
          <w:rFonts w:ascii="Times New Roman" w:hAnsi="Times New Roman" w:cs="Times New Roman"/>
          <w:b/>
          <w:sz w:val="24"/>
        </w:rPr>
        <w:t>Agenda item:</w:t>
      </w:r>
      <w:r w:rsidRPr="00915A2E">
        <w:rPr>
          <w:rFonts w:ascii="Times New Roman" w:hAnsi="Times New Roman" w:cs="Times New Roman"/>
          <w:sz w:val="24"/>
        </w:rPr>
        <w:tab/>
      </w:r>
      <w:r w:rsidR="00BB4AF9" w:rsidRPr="00915A2E">
        <w:rPr>
          <w:rFonts w:ascii="Times New Roman" w:hAnsi="Times New Roman" w:cs="Times New Roman"/>
          <w:sz w:val="24"/>
        </w:rPr>
        <w:t>13.1</w:t>
      </w:r>
    </w:p>
    <w:p w:rsidR="009867FA" w:rsidRPr="00915A2E" w:rsidRDefault="009867FA" w:rsidP="00915A2E">
      <w:pPr>
        <w:tabs>
          <w:tab w:val="left" w:pos="1985"/>
        </w:tabs>
        <w:spacing w:afterLines="50" w:after="120"/>
        <w:ind w:left="1136" w:hanging="1136"/>
        <w:rPr>
          <w:rFonts w:ascii="Times New Roman" w:hAnsi="Times New Roman" w:cs="Times New Roman"/>
          <w:sz w:val="24"/>
        </w:rPr>
      </w:pPr>
      <w:r w:rsidRPr="00915A2E">
        <w:rPr>
          <w:rFonts w:ascii="Times New Roman" w:hAnsi="Times New Roman" w:cs="Times New Roman"/>
          <w:b/>
          <w:sz w:val="24"/>
        </w:rPr>
        <w:t xml:space="preserve">Source: </w:t>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sz w:val="24"/>
          <w:lang w:eastAsia="ja-JP"/>
        </w:rPr>
        <w:t>OPPO</w:t>
      </w:r>
    </w:p>
    <w:p w:rsidR="00174EC2" w:rsidRPr="00915A2E" w:rsidRDefault="0034111C" w:rsidP="00915A2E">
      <w:pPr>
        <w:tabs>
          <w:tab w:val="left" w:pos="1985"/>
        </w:tabs>
        <w:spacing w:afterLines="50" w:after="120"/>
        <w:rPr>
          <w:rFonts w:ascii="Times New Roman" w:hAnsi="Times New Roman" w:cs="Times New Roman"/>
          <w:b/>
          <w:sz w:val="24"/>
        </w:rPr>
      </w:pPr>
      <w:r w:rsidRPr="00915A2E">
        <w:rPr>
          <w:rFonts w:ascii="Times New Roman" w:hAnsi="Times New Roman" w:cs="Times New Roman"/>
          <w:b/>
          <w:sz w:val="24"/>
        </w:rPr>
        <w:t>Title:</w:t>
      </w:r>
      <w:r w:rsidR="00CD5E70" w:rsidRPr="00915A2E">
        <w:rPr>
          <w:rFonts w:ascii="Times New Roman" w:hAnsi="Times New Roman" w:cs="Times New Roman"/>
          <w:b/>
          <w:sz w:val="24"/>
        </w:rPr>
        <w:t xml:space="preserve"> </w:t>
      </w:r>
      <w:r w:rsidR="009867FA" w:rsidRPr="00915A2E">
        <w:rPr>
          <w:rFonts w:ascii="Times New Roman" w:hAnsi="Times New Roman" w:cs="Times New Roman"/>
          <w:b/>
          <w:sz w:val="24"/>
        </w:rPr>
        <w:tab/>
      </w:r>
      <w:r w:rsidR="00F0617A" w:rsidRPr="00F0617A">
        <w:rPr>
          <w:rFonts w:ascii="Times New Roman" w:hAnsi="Times New Roman" w:cs="Times New Roman"/>
          <w:sz w:val="24"/>
          <w:lang w:eastAsia="ja-JP"/>
        </w:rPr>
        <w:t xml:space="preserve">Reply LS on </w:t>
      </w:r>
      <w:r w:rsidR="00531216" w:rsidRPr="00531216">
        <w:rPr>
          <w:rFonts w:ascii="Times New Roman" w:hAnsi="Times New Roman" w:cs="Times New Roman"/>
          <w:sz w:val="24"/>
          <w:lang w:eastAsia="ja-JP"/>
        </w:rPr>
        <w:t>timing assumption for inter-cell DL measurement</w:t>
      </w:r>
    </w:p>
    <w:p w:rsidR="0034111C" w:rsidRPr="00915A2E" w:rsidRDefault="0034111C" w:rsidP="00915A2E">
      <w:pPr>
        <w:tabs>
          <w:tab w:val="left" w:pos="1985"/>
        </w:tabs>
        <w:spacing w:afterLines="50" w:after="120"/>
        <w:rPr>
          <w:rFonts w:ascii="Times New Roman" w:hAnsi="Times New Roman" w:cs="Times New Roman"/>
          <w:bCs/>
          <w:sz w:val="22"/>
        </w:rPr>
      </w:pPr>
      <w:r w:rsidRPr="00915A2E">
        <w:rPr>
          <w:rFonts w:ascii="Times New Roman" w:hAnsi="Times New Roman" w:cs="Times New Roman"/>
          <w:b/>
          <w:sz w:val="24"/>
        </w:rPr>
        <w:t>Document for:</w:t>
      </w:r>
      <w:r w:rsidR="00CD5E70" w:rsidRPr="00915A2E">
        <w:rPr>
          <w:rFonts w:ascii="Times New Roman" w:hAnsi="Times New Roman" w:cs="Times New Roman"/>
          <w:b/>
          <w:sz w:val="24"/>
        </w:rPr>
        <w:t xml:space="preserve"> </w:t>
      </w:r>
      <w:r w:rsidR="009867FA" w:rsidRPr="00915A2E">
        <w:rPr>
          <w:rFonts w:ascii="Times New Roman" w:hAnsi="Times New Roman" w:cs="Times New Roman"/>
          <w:b/>
          <w:sz w:val="24"/>
        </w:rPr>
        <w:tab/>
      </w:r>
      <w:r w:rsidR="00CD5E70" w:rsidRPr="00915A2E">
        <w:rPr>
          <w:rFonts w:ascii="Times New Roman" w:hAnsi="Times New Roman" w:cs="Times New Roman"/>
          <w:sz w:val="24"/>
          <w:lang w:eastAsia="ja-JP"/>
        </w:rPr>
        <w:t>Discussion</w:t>
      </w:r>
      <w:r w:rsidR="00F43398" w:rsidRPr="00915A2E">
        <w:rPr>
          <w:rFonts w:ascii="Times New Roman" w:hAnsi="Times New Roman" w:cs="Times New Roman"/>
          <w:sz w:val="24"/>
          <w:lang w:eastAsia="ja-JP"/>
        </w:rPr>
        <w:tab/>
      </w:r>
    </w:p>
    <w:p w:rsidR="0034111C" w:rsidRPr="00915A2E" w:rsidRDefault="0034111C" w:rsidP="00915A2E">
      <w:pPr>
        <w:pStyle w:val="1"/>
        <w:numPr>
          <w:ilvl w:val="0"/>
          <w:numId w:val="1"/>
        </w:numPr>
        <w:spacing w:after="50"/>
        <w:jc w:val="both"/>
        <w:rPr>
          <w:rFonts w:ascii="Times New Roman" w:hAnsi="Times New Roman"/>
          <w:lang w:eastAsia="zh-CN"/>
        </w:rPr>
      </w:pPr>
      <w:r w:rsidRPr="00915A2E">
        <w:rPr>
          <w:rFonts w:ascii="Times New Roman" w:hAnsi="Times New Roman"/>
        </w:rPr>
        <w:tab/>
      </w:r>
      <w:r w:rsidR="00EE7FA7" w:rsidRPr="00915A2E">
        <w:rPr>
          <w:rFonts w:ascii="Times New Roman" w:hAnsi="Times New Roman"/>
        </w:rPr>
        <w:t>Introduction</w:t>
      </w:r>
    </w:p>
    <w:p w:rsidR="0052332A" w:rsidRPr="004529C7" w:rsidRDefault="007B0D30" w:rsidP="00915A2E">
      <w:pPr>
        <w:spacing w:afterLines="50" w:after="120"/>
        <w:rPr>
          <w:rFonts w:ascii="Times New Roman" w:eastAsia="PMingLiU" w:hAnsi="Times New Roman" w:cs="Times New Roman"/>
          <w:szCs w:val="21"/>
          <w:lang w:eastAsia="zh-TW"/>
        </w:rPr>
      </w:pPr>
      <w:r w:rsidRPr="004529C7">
        <w:rPr>
          <w:rFonts w:ascii="Times New Roman" w:eastAsia="PMingLiU" w:hAnsi="Times New Roman" w:cs="Times New Roman"/>
          <w:szCs w:val="21"/>
          <w:lang w:eastAsia="zh-TW"/>
        </w:rPr>
        <w:t>In last meeting, one LS</w:t>
      </w:r>
      <w:r w:rsidR="000917F0" w:rsidRPr="004529C7">
        <w:rPr>
          <w:rFonts w:ascii="Times New Roman" w:eastAsia="PMingLiU" w:hAnsi="Times New Roman" w:cs="Times New Roman"/>
          <w:szCs w:val="21"/>
          <w:lang w:eastAsia="zh-TW"/>
        </w:rPr>
        <w:t xml:space="preserve"> </w:t>
      </w:r>
      <w:r w:rsidRPr="004529C7">
        <w:rPr>
          <w:rFonts w:ascii="Times New Roman" w:eastAsia="PMingLiU" w:hAnsi="Times New Roman" w:cs="Times New Roman"/>
          <w:szCs w:val="21"/>
          <w:lang w:eastAsia="zh-TW"/>
        </w:rPr>
        <w:t xml:space="preserve">[1] on </w:t>
      </w:r>
      <w:r w:rsidR="00F0617A">
        <w:rPr>
          <w:rFonts w:ascii="Times New Roman" w:eastAsia="PMingLiU" w:hAnsi="Times New Roman" w:cs="Times New Roman"/>
          <w:szCs w:val="21"/>
          <w:lang w:eastAsia="zh-TW"/>
        </w:rPr>
        <w:t>t</w:t>
      </w:r>
      <w:r w:rsidR="00F0617A" w:rsidRPr="00F0617A">
        <w:rPr>
          <w:rFonts w:ascii="Times New Roman" w:eastAsia="PMingLiU" w:hAnsi="Times New Roman" w:cs="Times New Roman"/>
          <w:szCs w:val="21"/>
          <w:lang w:eastAsia="zh-TW"/>
        </w:rPr>
        <w:t xml:space="preserve">iming </w:t>
      </w:r>
      <w:r w:rsidR="00A96F40">
        <w:rPr>
          <w:rFonts w:ascii="Times New Roman" w:eastAsia="PMingLiU" w:hAnsi="Times New Roman" w:cs="Times New Roman"/>
          <w:szCs w:val="21"/>
          <w:lang w:eastAsia="zh-TW"/>
        </w:rPr>
        <w:t>a</w:t>
      </w:r>
      <w:r w:rsidR="00F0617A" w:rsidRPr="00F0617A">
        <w:rPr>
          <w:rFonts w:ascii="Times New Roman" w:eastAsia="PMingLiU" w:hAnsi="Times New Roman" w:cs="Times New Roman"/>
          <w:szCs w:val="21"/>
          <w:lang w:eastAsia="zh-TW"/>
        </w:rPr>
        <w:t xml:space="preserve">ssumption for </w:t>
      </w:r>
      <w:r w:rsidR="00A96F40">
        <w:rPr>
          <w:rFonts w:ascii="Times New Roman" w:eastAsia="PMingLiU" w:hAnsi="Times New Roman" w:cs="Times New Roman"/>
          <w:szCs w:val="21"/>
          <w:lang w:eastAsia="zh-TW"/>
        </w:rPr>
        <w:t>i</w:t>
      </w:r>
      <w:r w:rsidR="00F0617A" w:rsidRPr="00F0617A">
        <w:rPr>
          <w:rFonts w:ascii="Times New Roman" w:eastAsia="PMingLiU" w:hAnsi="Times New Roman" w:cs="Times New Roman"/>
          <w:szCs w:val="21"/>
          <w:lang w:eastAsia="zh-TW"/>
        </w:rPr>
        <w:t>nter-</w:t>
      </w:r>
      <w:r w:rsidR="00A96F40">
        <w:rPr>
          <w:rFonts w:ascii="Times New Roman" w:eastAsia="PMingLiU" w:hAnsi="Times New Roman" w:cs="Times New Roman"/>
          <w:szCs w:val="21"/>
          <w:lang w:eastAsia="zh-TW"/>
        </w:rPr>
        <w:t>c</w:t>
      </w:r>
      <w:r w:rsidR="00F0617A" w:rsidRPr="00F0617A">
        <w:rPr>
          <w:rFonts w:ascii="Times New Roman" w:eastAsia="PMingLiU" w:hAnsi="Times New Roman" w:cs="Times New Roman"/>
          <w:szCs w:val="21"/>
          <w:lang w:eastAsia="zh-TW"/>
        </w:rPr>
        <w:t xml:space="preserve">ell DL </w:t>
      </w:r>
      <w:r w:rsidR="00A96F40">
        <w:rPr>
          <w:rFonts w:ascii="Times New Roman" w:eastAsia="PMingLiU" w:hAnsi="Times New Roman" w:cs="Times New Roman"/>
          <w:szCs w:val="21"/>
          <w:lang w:eastAsia="zh-TW"/>
        </w:rPr>
        <w:t>m</w:t>
      </w:r>
      <w:r w:rsidR="00F0617A" w:rsidRPr="00F0617A">
        <w:rPr>
          <w:rFonts w:ascii="Times New Roman" w:eastAsia="PMingLiU" w:hAnsi="Times New Roman" w:cs="Times New Roman"/>
          <w:szCs w:val="21"/>
          <w:lang w:eastAsia="zh-TW"/>
        </w:rPr>
        <w:t>easurement</w:t>
      </w:r>
      <w:r w:rsidRPr="004529C7">
        <w:rPr>
          <w:rFonts w:ascii="Times New Roman" w:eastAsia="PMingLiU" w:hAnsi="Times New Roman" w:cs="Times New Roman"/>
          <w:szCs w:val="21"/>
          <w:lang w:eastAsia="zh-TW"/>
        </w:rPr>
        <w:t xml:space="preserve"> </w:t>
      </w:r>
      <w:r w:rsidR="005158EB" w:rsidRPr="004529C7">
        <w:rPr>
          <w:rFonts w:ascii="Times New Roman" w:eastAsia="PMingLiU" w:hAnsi="Times New Roman" w:cs="Times New Roman"/>
          <w:szCs w:val="21"/>
          <w:lang w:eastAsia="zh-TW"/>
        </w:rPr>
        <w:t xml:space="preserve">was </w:t>
      </w:r>
      <w:r w:rsidRPr="004529C7">
        <w:rPr>
          <w:rFonts w:ascii="Times New Roman" w:eastAsia="PMingLiU" w:hAnsi="Times New Roman" w:cs="Times New Roman"/>
          <w:szCs w:val="21"/>
          <w:lang w:eastAsia="zh-TW"/>
        </w:rPr>
        <w:t xml:space="preserve">sent from RAN1. </w:t>
      </w:r>
      <w:r w:rsidR="005158EB" w:rsidRPr="004529C7">
        <w:rPr>
          <w:rFonts w:ascii="Times New Roman" w:eastAsia="PMingLiU" w:hAnsi="Times New Roman" w:cs="Times New Roman"/>
          <w:szCs w:val="21"/>
          <w:lang w:eastAsia="zh-TW"/>
        </w:rPr>
        <w:t>I</w:t>
      </w:r>
      <w:r w:rsidRPr="004529C7">
        <w:rPr>
          <w:rFonts w:ascii="Times New Roman" w:eastAsia="PMingLiU" w:hAnsi="Times New Roman" w:cs="Times New Roman"/>
          <w:szCs w:val="21"/>
          <w:lang w:eastAsia="zh-TW"/>
        </w:rPr>
        <w:t>n this paper</w:t>
      </w:r>
      <w:r w:rsidR="005158EB" w:rsidRPr="004529C7">
        <w:rPr>
          <w:rFonts w:ascii="Times New Roman" w:eastAsia="PMingLiU" w:hAnsi="Times New Roman" w:cs="Times New Roman"/>
          <w:szCs w:val="21"/>
          <w:lang w:eastAsia="zh-TW"/>
        </w:rPr>
        <w:t>, we provide our views on the questions for RAN4 in LS.</w:t>
      </w:r>
    </w:p>
    <w:p w:rsidR="005575F9" w:rsidRPr="00915A2E" w:rsidRDefault="00C51F3B" w:rsidP="00915A2E">
      <w:pPr>
        <w:pStyle w:val="1"/>
        <w:numPr>
          <w:ilvl w:val="0"/>
          <w:numId w:val="1"/>
        </w:numPr>
        <w:spacing w:after="50"/>
        <w:jc w:val="both"/>
        <w:rPr>
          <w:rFonts w:ascii="Times New Roman" w:hAnsi="Times New Roman"/>
        </w:rPr>
      </w:pPr>
      <w:r w:rsidRPr="00915A2E">
        <w:rPr>
          <w:rFonts w:ascii="Times New Roman" w:hAnsi="Times New Roman"/>
        </w:rPr>
        <w:t>Dis</w:t>
      </w:r>
      <w:r w:rsidR="0076676F" w:rsidRPr="00915A2E">
        <w:rPr>
          <w:rFonts w:ascii="Times New Roman" w:hAnsi="Times New Roman"/>
        </w:rPr>
        <w:t>cu</w:t>
      </w:r>
      <w:r w:rsidRPr="00915A2E">
        <w:rPr>
          <w:rFonts w:ascii="Times New Roman" w:hAnsi="Times New Roman"/>
        </w:rPr>
        <w:t>ssion</w:t>
      </w:r>
    </w:p>
    <w:p w:rsidR="00C864F2" w:rsidRPr="00F0617A" w:rsidRDefault="00F0617A" w:rsidP="00AC56C2">
      <w:pPr>
        <w:spacing w:beforeLines="50" w:before="120" w:afterLines="50" w:after="120"/>
        <w:rPr>
          <w:rFonts w:ascii="Times New Roman" w:eastAsia="PMingLiU" w:hAnsi="Times New Roman" w:cs="Times New Roman"/>
          <w:szCs w:val="21"/>
          <w:lang w:eastAsia="zh-TW"/>
        </w:rPr>
      </w:pPr>
      <w:r w:rsidRPr="00F0617A">
        <w:rPr>
          <w:rFonts w:ascii="Times New Roman" w:eastAsia="PMingLiU" w:hAnsi="Times New Roman" w:cs="Times New Roman"/>
          <w:szCs w:val="21"/>
          <w:lang w:eastAsia="zh-TW"/>
        </w:rPr>
        <w:t>RAN1 has agreed to support L1-RSRP reporting (and its respective measurement) associated with non-serving cell. Pertinent to this aspect, the following agreements have been made.</w:t>
      </w:r>
    </w:p>
    <w:tbl>
      <w:tblPr>
        <w:tblStyle w:val="af7"/>
        <w:tblW w:w="0" w:type="auto"/>
        <w:tblLook w:val="04A0" w:firstRow="1" w:lastRow="0" w:firstColumn="1" w:lastColumn="0" w:noHBand="0" w:noVBand="1"/>
      </w:tblPr>
      <w:tblGrid>
        <w:gridCol w:w="9629"/>
      </w:tblGrid>
      <w:tr w:rsidR="001229AB" w:rsidRPr="004529C7" w:rsidTr="001229AB">
        <w:tc>
          <w:tcPr>
            <w:tcW w:w="9629" w:type="dxa"/>
          </w:tcPr>
          <w:p w:rsidR="00F0617A" w:rsidRPr="00600CC2" w:rsidRDefault="00F0617A" w:rsidP="00AC56C2">
            <w:pPr>
              <w:snapToGrid w:val="0"/>
              <w:spacing w:afterLines="50" w:after="120"/>
              <w:rPr>
                <w:b/>
              </w:rPr>
            </w:pPr>
            <w:r w:rsidRPr="00600CC2">
              <w:rPr>
                <w:b/>
                <w:highlight w:val="green"/>
              </w:rPr>
              <w:t>Agreement</w:t>
            </w:r>
          </w:p>
          <w:p w:rsidR="00F0617A" w:rsidRPr="00A26919" w:rsidRDefault="00F0617A" w:rsidP="00AC56C2">
            <w:pPr>
              <w:snapToGrid w:val="0"/>
              <w:spacing w:afterLines="50" w:after="120"/>
              <w:rPr>
                <w:rFonts w:eastAsia="Batang"/>
              </w:rPr>
            </w:pPr>
            <w:r w:rsidRPr="00A26919">
              <w:t xml:space="preserve">On Rel.17 multi beam measurement/reporting enhancements </w:t>
            </w:r>
            <w:r w:rsidRPr="00A26919">
              <w:rPr>
                <w:color w:val="000000"/>
              </w:rPr>
              <w:t xml:space="preserve">for L1/L2-centric inter-cell mobility and inter-cell </w:t>
            </w:r>
            <w:proofErr w:type="spellStart"/>
            <w:r w:rsidRPr="00A26919">
              <w:rPr>
                <w:color w:val="000000"/>
              </w:rPr>
              <w:t>mTRP</w:t>
            </w:r>
            <w:proofErr w:type="spellEnd"/>
            <w:r w:rsidRPr="00A26919">
              <w:rPr>
                <w:rFonts w:eastAsia="Batang"/>
              </w:rPr>
              <w:t>:</w:t>
            </w:r>
          </w:p>
          <w:p w:rsidR="00F0617A" w:rsidRPr="00573268" w:rsidRDefault="00F0617A" w:rsidP="00AC56C2">
            <w:pPr>
              <w:pStyle w:val="af5"/>
              <w:widowControl/>
              <w:numPr>
                <w:ilvl w:val="0"/>
                <w:numId w:val="36"/>
              </w:numPr>
              <w:snapToGrid w:val="0"/>
              <w:spacing w:afterLines="50" w:after="120"/>
              <w:contextualSpacing w:val="0"/>
              <w:jc w:val="left"/>
              <w:rPr>
                <w:sz w:val="20"/>
                <w:szCs w:val="20"/>
              </w:rPr>
            </w:pPr>
            <w:r w:rsidRPr="00573268">
              <w:rPr>
                <w:sz w:val="20"/>
                <w:szCs w:val="20"/>
              </w:rPr>
              <w:t>Rel.15 L1-RSRP is used as reporting quantity for measurement and reporting of non-serving-cell(s)</w:t>
            </w:r>
          </w:p>
          <w:p w:rsidR="00F0617A" w:rsidRPr="00573268" w:rsidRDefault="00F0617A" w:rsidP="00AC56C2">
            <w:pPr>
              <w:pStyle w:val="af5"/>
              <w:widowControl/>
              <w:numPr>
                <w:ilvl w:val="1"/>
                <w:numId w:val="36"/>
              </w:numPr>
              <w:snapToGrid w:val="0"/>
              <w:spacing w:afterLines="50" w:after="120"/>
              <w:contextualSpacing w:val="0"/>
              <w:jc w:val="left"/>
              <w:rPr>
                <w:sz w:val="20"/>
                <w:szCs w:val="20"/>
              </w:rPr>
            </w:pPr>
            <w:r w:rsidRPr="00573268">
              <w:rPr>
                <w:sz w:val="20"/>
                <w:szCs w:val="20"/>
              </w:rPr>
              <w:t xml:space="preserve">Support SSB as a measurement RS for </w:t>
            </w:r>
            <w:r w:rsidRPr="00573268">
              <w:rPr>
                <w:color w:val="000000"/>
                <w:sz w:val="20"/>
                <w:szCs w:val="20"/>
              </w:rPr>
              <w:t xml:space="preserve">L1/L2-centric inter-cell mobility </w:t>
            </w:r>
            <w:r w:rsidRPr="00573268">
              <w:rPr>
                <w:sz w:val="20"/>
                <w:szCs w:val="20"/>
              </w:rPr>
              <w:t xml:space="preserve">and inter-cell </w:t>
            </w:r>
            <w:proofErr w:type="spellStart"/>
            <w:r w:rsidRPr="00573268">
              <w:rPr>
                <w:sz w:val="20"/>
                <w:szCs w:val="20"/>
              </w:rPr>
              <w:t>mTRP</w:t>
            </w:r>
            <w:proofErr w:type="spellEnd"/>
            <w:r w:rsidRPr="00573268">
              <w:rPr>
                <w:sz w:val="20"/>
                <w:szCs w:val="20"/>
              </w:rPr>
              <w:t>, and Rel.15 SS-RSRP calculated from SSB of non-serving cell(s)</w:t>
            </w:r>
          </w:p>
          <w:p w:rsidR="00F0617A" w:rsidRPr="00573268" w:rsidRDefault="00F0617A" w:rsidP="00AC56C2">
            <w:pPr>
              <w:pStyle w:val="af5"/>
              <w:widowControl/>
              <w:numPr>
                <w:ilvl w:val="2"/>
                <w:numId w:val="36"/>
              </w:numPr>
              <w:snapToGrid w:val="0"/>
              <w:spacing w:afterLines="50" w:after="120"/>
              <w:contextualSpacing w:val="0"/>
              <w:jc w:val="left"/>
              <w:rPr>
                <w:sz w:val="20"/>
                <w:szCs w:val="20"/>
              </w:rPr>
            </w:pPr>
            <w:r w:rsidRPr="00573268">
              <w:rPr>
                <w:bCs/>
                <w:sz w:val="20"/>
                <w:szCs w:val="20"/>
              </w:rPr>
              <w:t>FFS: Whether the measurement for SS-RSRP is limited within SMTC</w:t>
            </w:r>
          </w:p>
          <w:p w:rsidR="00F0617A" w:rsidRPr="00573268" w:rsidRDefault="00F0617A" w:rsidP="00AC56C2">
            <w:pPr>
              <w:pStyle w:val="af5"/>
              <w:widowControl/>
              <w:numPr>
                <w:ilvl w:val="2"/>
                <w:numId w:val="36"/>
              </w:numPr>
              <w:snapToGrid w:val="0"/>
              <w:spacing w:afterLines="50" w:after="120"/>
              <w:contextualSpacing w:val="0"/>
              <w:jc w:val="left"/>
              <w:rPr>
                <w:sz w:val="20"/>
                <w:szCs w:val="20"/>
              </w:rPr>
            </w:pPr>
            <w:r w:rsidRPr="00573268">
              <w:rPr>
                <w:rFonts w:eastAsia="Malgun Gothic"/>
                <w:sz w:val="20"/>
                <w:szCs w:val="20"/>
              </w:rPr>
              <w:t>FFS: Detailed reporting method, e.g. via including existing L1-RSRP report, UE-initiated report etc.</w:t>
            </w:r>
          </w:p>
          <w:p w:rsidR="00F0617A" w:rsidRPr="00A26919" w:rsidRDefault="00F0617A" w:rsidP="00AC56C2">
            <w:pPr>
              <w:pStyle w:val="af5"/>
              <w:widowControl/>
              <w:numPr>
                <w:ilvl w:val="1"/>
                <w:numId w:val="36"/>
              </w:numPr>
              <w:snapToGrid w:val="0"/>
              <w:spacing w:afterLines="50" w:after="120"/>
              <w:contextualSpacing w:val="0"/>
              <w:jc w:val="left"/>
              <w:rPr>
                <w:sz w:val="20"/>
                <w:szCs w:val="20"/>
              </w:rPr>
            </w:pPr>
            <w:r w:rsidRPr="00A26919">
              <w:rPr>
                <w:sz w:val="20"/>
                <w:szCs w:val="20"/>
              </w:rPr>
              <w:t xml:space="preserve">FFS: Whether or not to support CSI-RS (for e.g. mobility and/or tracking) of non-serving cell(s) as a measurement RS for </w:t>
            </w:r>
            <w:r w:rsidRPr="00A26919">
              <w:rPr>
                <w:color w:val="000000"/>
                <w:sz w:val="20"/>
                <w:szCs w:val="20"/>
              </w:rPr>
              <w:t xml:space="preserve">L1/L2-centric inter-cell mobility </w:t>
            </w:r>
            <w:r w:rsidRPr="00A26919">
              <w:rPr>
                <w:sz w:val="20"/>
                <w:szCs w:val="20"/>
              </w:rPr>
              <w:t xml:space="preserve">and inter-cell </w:t>
            </w:r>
            <w:proofErr w:type="spellStart"/>
            <w:r w:rsidRPr="00A26919">
              <w:rPr>
                <w:sz w:val="20"/>
                <w:szCs w:val="20"/>
              </w:rPr>
              <w:t>mTRP</w:t>
            </w:r>
            <w:proofErr w:type="spellEnd"/>
            <w:r w:rsidRPr="00A26919">
              <w:rPr>
                <w:sz w:val="20"/>
                <w:szCs w:val="20"/>
              </w:rPr>
              <w:t xml:space="preserve">. If the support of CSI-RS (for e.g. mobility and/or tracking) of non-serving cell(s) as a measurement RS for </w:t>
            </w:r>
            <w:r w:rsidRPr="00A26919">
              <w:rPr>
                <w:color w:val="000000"/>
                <w:sz w:val="20"/>
                <w:szCs w:val="20"/>
              </w:rPr>
              <w:t xml:space="preserve">L1/L2-centric inter-cell mobility </w:t>
            </w:r>
            <w:r w:rsidRPr="00A26919">
              <w:rPr>
                <w:sz w:val="20"/>
                <w:szCs w:val="20"/>
              </w:rPr>
              <w:t xml:space="preserve">and inter-cell </w:t>
            </w:r>
            <w:proofErr w:type="spellStart"/>
            <w:r w:rsidRPr="00A26919">
              <w:rPr>
                <w:sz w:val="20"/>
                <w:szCs w:val="20"/>
              </w:rPr>
              <w:t>mTRP</w:t>
            </w:r>
            <w:proofErr w:type="spellEnd"/>
            <w:r w:rsidRPr="00A26919">
              <w:rPr>
                <w:sz w:val="20"/>
                <w:szCs w:val="20"/>
              </w:rPr>
              <w:t xml:space="preserve"> is confirmed, Rel.15 CSI-RSRP is also supported  </w:t>
            </w:r>
          </w:p>
          <w:p w:rsidR="00F0617A" w:rsidRPr="00A26919" w:rsidRDefault="00F0617A" w:rsidP="00AC56C2">
            <w:pPr>
              <w:pStyle w:val="af5"/>
              <w:widowControl/>
              <w:numPr>
                <w:ilvl w:val="2"/>
                <w:numId w:val="36"/>
              </w:numPr>
              <w:snapToGrid w:val="0"/>
              <w:spacing w:afterLines="50" w:after="120"/>
              <w:contextualSpacing w:val="0"/>
              <w:jc w:val="left"/>
              <w:rPr>
                <w:sz w:val="20"/>
                <w:szCs w:val="20"/>
              </w:rPr>
            </w:pPr>
            <w:r w:rsidRPr="00A26919">
              <w:rPr>
                <w:sz w:val="20"/>
                <w:szCs w:val="20"/>
              </w:rPr>
              <w:t>Whether the support applies to CSI-RS with or without QCL source, or both</w:t>
            </w:r>
          </w:p>
          <w:p w:rsidR="00F0617A" w:rsidRPr="00A26919" w:rsidRDefault="00F0617A" w:rsidP="00AC56C2">
            <w:pPr>
              <w:pStyle w:val="af5"/>
              <w:widowControl/>
              <w:numPr>
                <w:ilvl w:val="1"/>
                <w:numId w:val="36"/>
              </w:numPr>
              <w:snapToGrid w:val="0"/>
              <w:spacing w:afterLines="50" w:after="120"/>
              <w:contextualSpacing w:val="0"/>
              <w:jc w:val="left"/>
              <w:rPr>
                <w:sz w:val="20"/>
                <w:szCs w:val="20"/>
              </w:rPr>
            </w:pPr>
            <w:r w:rsidRPr="00A26919">
              <w:rPr>
                <w:sz w:val="20"/>
                <w:szCs w:val="20"/>
              </w:rPr>
              <w:t xml:space="preserve">FFS: The number of non-serving cell(s) for measurement/reporting </w:t>
            </w:r>
          </w:p>
          <w:p w:rsidR="00F0617A" w:rsidRPr="00A26919" w:rsidRDefault="00F0617A" w:rsidP="00AC56C2">
            <w:pPr>
              <w:pStyle w:val="af5"/>
              <w:widowControl/>
              <w:numPr>
                <w:ilvl w:val="1"/>
                <w:numId w:val="36"/>
              </w:numPr>
              <w:snapToGrid w:val="0"/>
              <w:spacing w:afterLines="50" w:after="120"/>
              <w:contextualSpacing w:val="0"/>
              <w:jc w:val="left"/>
              <w:rPr>
                <w:sz w:val="20"/>
                <w:szCs w:val="20"/>
              </w:rPr>
            </w:pPr>
            <w:r w:rsidRPr="00A26919">
              <w:rPr>
                <w:sz w:val="20"/>
                <w:szCs w:val="20"/>
              </w:rPr>
              <w:t>FFS: time behavior of the reporting, i.e. periodic, semi-persistent, aperiodic, or UE-initiated</w:t>
            </w:r>
          </w:p>
          <w:p w:rsidR="00F0617A" w:rsidRPr="00A26919" w:rsidRDefault="00F0617A" w:rsidP="00AC56C2">
            <w:pPr>
              <w:pStyle w:val="af5"/>
              <w:widowControl/>
              <w:numPr>
                <w:ilvl w:val="0"/>
                <w:numId w:val="36"/>
              </w:numPr>
              <w:snapToGrid w:val="0"/>
              <w:spacing w:afterLines="50" w:after="120"/>
              <w:contextualSpacing w:val="0"/>
              <w:jc w:val="left"/>
              <w:rPr>
                <w:sz w:val="20"/>
                <w:szCs w:val="20"/>
              </w:rPr>
            </w:pPr>
            <w:r w:rsidRPr="00A26919">
              <w:rPr>
                <w:sz w:val="20"/>
                <w:szCs w:val="20"/>
              </w:rPr>
              <w:t>FFS: If other reporting quantities are supported, e.g. L3-RSRP, hybrid L1/L3-RSRP</w:t>
            </w:r>
          </w:p>
          <w:p w:rsidR="00F0617A" w:rsidRPr="00573268" w:rsidRDefault="00F0617A" w:rsidP="00AC56C2">
            <w:pPr>
              <w:pStyle w:val="af5"/>
              <w:widowControl/>
              <w:numPr>
                <w:ilvl w:val="0"/>
                <w:numId w:val="36"/>
              </w:numPr>
              <w:snapToGrid w:val="0"/>
              <w:spacing w:afterLines="50" w:after="120"/>
              <w:contextualSpacing w:val="0"/>
              <w:jc w:val="left"/>
              <w:rPr>
                <w:sz w:val="20"/>
                <w:szCs w:val="20"/>
              </w:rPr>
            </w:pPr>
            <w:r w:rsidRPr="00A26919">
              <w:rPr>
                <w:bCs/>
                <w:sz w:val="20"/>
                <w:szCs w:val="20"/>
              </w:rPr>
              <w:t>FFS: Dynamic activation/deactivation/selection of the beam measurement on the RS(s) associated with non-serving cell(s) via MAC CE</w:t>
            </w:r>
          </w:p>
          <w:p w:rsidR="00F0617A" w:rsidRPr="00AC56C2" w:rsidRDefault="00F0617A" w:rsidP="00AC56C2">
            <w:pPr>
              <w:pStyle w:val="af5"/>
              <w:widowControl/>
              <w:numPr>
                <w:ilvl w:val="0"/>
                <w:numId w:val="36"/>
              </w:numPr>
              <w:snapToGrid w:val="0"/>
              <w:spacing w:afterLines="50" w:after="120"/>
              <w:contextualSpacing w:val="0"/>
              <w:jc w:val="left"/>
              <w:rPr>
                <w:sz w:val="20"/>
                <w:szCs w:val="20"/>
              </w:rPr>
            </w:pPr>
            <w:r w:rsidRPr="00573268">
              <w:rPr>
                <w:bCs/>
                <w:sz w:val="20"/>
                <w:szCs w:val="20"/>
              </w:rPr>
              <w:t xml:space="preserve">FFS: Timing assumption </w:t>
            </w:r>
            <w:r w:rsidRPr="00573268">
              <w:rPr>
                <w:sz w:val="20"/>
                <w:szCs w:val="20"/>
                <w:lang w:eastAsia="zh-CN"/>
              </w:rPr>
              <w:t>(e.g. time of arrival and time of the measurement)</w:t>
            </w:r>
            <w:r w:rsidRPr="00573268">
              <w:rPr>
                <w:bCs/>
                <w:sz w:val="20"/>
                <w:szCs w:val="20"/>
              </w:rPr>
              <w:t xml:space="preserve"> for measurement of non-serving cell RS measurement</w:t>
            </w:r>
          </w:p>
          <w:p w:rsidR="00F0617A" w:rsidRPr="00D80EC6" w:rsidRDefault="00F0617A" w:rsidP="00AC56C2">
            <w:pPr>
              <w:snapToGrid w:val="0"/>
              <w:spacing w:afterLines="50" w:after="120"/>
              <w:rPr>
                <w:b/>
              </w:rPr>
            </w:pPr>
            <w:r w:rsidRPr="00600CC2">
              <w:rPr>
                <w:b/>
                <w:highlight w:val="green"/>
              </w:rPr>
              <w:t>Agreement</w:t>
            </w:r>
          </w:p>
          <w:p w:rsidR="00F0617A" w:rsidRPr="00573268" w:rsidRDefault="00F0617A" w:rsidP="00AC56C2">
            <w:pPr>
              <w:snapToGrid w:val="0"/>
              <w:spacing w:afterLines="50" w:after="120"/>
              <w:rPr>
                <w:rFonts w:eastAsia="Batang"/>
                <w:szCs w:val="24"/>
              </w:rPr>
            </w:pPr>
            <w:r w:rsidRPr="00573268">
              <w:rPr>
                <w:rFonts w:eastAsia="Batang"/>
                <w:szCs w:val="24"/>
              </w:rPr>
              <w:t xml:space="preserve">On Rel.17 multi-beam measurement/reporting enhancements </w:t>
            </w:r>
            <w:r w:rsidRPr="00573268">
              <w:rPr>
                <w:rFonts w:eastAsia="Batang"/>
                <w:color w:val="000000"/>
                <w:szCs w:val="24"/>
              </w:rPr>
              <w:t xml:space="preserve">for L1/L2-centric inter-cell mobility and inter-cell </w:t>
            </w:r>
            <w:proofErr w:type="spellStart"/>
            <w:r w:rsidRPr="00573268">
              <w:rPr>
                <w:rFonts w:eastAsia="Batang"/>
                <w:color w:val="000000"/>
                <w:szCs w:val="24"/>
              </w:rPr>
              <w:t>mTRP</w:t>
            </w:r>
            <w:proofErr w:type="spellEnd"/>
            <w:r w:rsidRPr="00573268">
              <w:rPr>
                <w:rFonts w:eastAsia="Batang"/>
                <w:szCs w:val="24"/>
              </w:rPr>
              <w:t xml:space="preserve">, </w:t>
            </w:r>
          </w:p>
          <w:p w:rsidR="00F0617A" w:rsidRPr="00573268" w:rsidRDefault="00F0617A" w:rsidP="00AC56C2">
            <w:pPr>
              <w:widowControl/>
              <w:numPr>
                <w:ilvl w:val="0"/>
                <w:numId w:val="37"/>
              </w:numPr>
              <w:autoSpaceDN w:val="0"/>
              <w:snapToGrid w:val="0"/>
              <w:spacing w:afterLines="50" w:after="120"/>
              <w:rPr>
                <w:rFonts w:eastAsia="Batang"/>
                <w:szCs w:val="24"/>
              </w:rPr>
            </w:pPr>
            <w:r w:rsidRPr="00573268">
              <w:rPr>
                <w:rFonts w:eastAsia="Batang"/>
                <w:szCs w:val="24"/>
              </w:rPr>
              <w:t xml:space="preserve">In one reporting instance, depending on NW configuration, beam(s) associated with a non-serving cell can be mixed with that associated with serving-cell </w:t>
            </w:r>
          </w:p>
          <w:p w:rsidR="00F0617A" w:rsidRPr="00573268" w:rsidRDefault="00F0617A" w:rsidP="00AC56C2">
            <w:pPr>
              <w:widowControl/>
              <w:numPr>
                <w:ilvl w:val="1"/>
                <w:numId w:val="37"/>
              </w:numPr>
              <w:autoSpaceDN w:val="0"/>
              <w:snapToGrid w:val="0"/>
              <w:spacing w:afterLines="50" w:after="120"/>
              <w:rPr>
                <w:rFonts w:eastAsia="Batang"/>
                <w:szCs w:val="24"/>
              </w:rPr>
            </w:pPr>
            <w:r w:rsidRPr="00573268">
              <w:rPr>
                <w:rFonts w:eastAsia="Batang"/>
                <w:szCs w:val="24"/>
              </w:rPr>
              <w:t>FFS: whether this applies to periodic, semi-persistent, and/or aperiodic</w:t>
            </w:r>
          </w:p>
          <w:p w:rsidR="00F0617A" w:rsidRPr="00573268" w:rsidRDefault="00F0617A" w:rsidP="00AC56C2">
            <w:pPr>
              <w:widowControl/>
              <w:numPr>
                <w:ilvl w:val="1"/>
                <w:numId w:val="37"/>
              </w:numPr>
              <w:autoSpaceDN w:val="0"/>
              <w:snapToGrid w:val="0"/>
              <w:spacing w:afterLines="50" w:after="120"/>
              <w:rPr>
                <w:rFonts w:eastAsia="Batang"/>
                <w:szCs w:val="24"/>
              </w:rPr>
            </w:pPr>
            <w:r w:rsidRPr="00573268">
              <w:rPr>
                <w:rFonts w:eastAsia="等线"/>
                <w:bCs/>
                <w:szCs w:val="24"/>
              </w:rPr>
              <w:lastRenderedPageBreak/>
              <w:t>FFS: How to report the K beams and corresponding qualities if the Tx power among the non-serving cell and with serving-cell is not the same</w:t>
            </w:r>
          </w:p>
          <w:p w:rsidR="00E7725C" w:rsidRPr="00F0617A" w:rsidRDefault="00F0617A" w:rsidP="00AC56C2">
            <w:pPr>
              <w:widowControl/>
              <w:numPr>
                <w:ilvl w:val="1"/>
                <w:numId w:val="37"/>
              </w:numPr>
              <w:autoSpaceDN w:val="0"/>
              <w:snapToGrid w:val="0"/>
              <w:spacing w:afterLines="50" w:after="120"/>
              <w:rPr>
                <w:rFonts w:eastAsia="Batang"/>
                <w:szCs w:val="24"/>
              </w:rPr>
            </w:pPr>
            <w:r w:rsidRPr="00573268">
              <w:rPr>
                <w:rFonts w:eastAsia="等线"/>
                <w:bCs/>
                <w:szCs w:val="24"/>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c>
      </w:tr>
    </w:tbl>
    <w:p w:rsidR="00F0617A" w:rsidRPr="00F0617A" w:rsidRDefault="00F0617A" w:rsidP="00AC56C2">
      <w:pPr>
        <w:spacing w:beforeLines="50" w:before="120" w:afterLines="50" w:after="120"/>
        <w:rPr>
          <w:rFonts w:ascii="Times New Roman" w:hAnsi="Times New Roman" w:cs="Times New Roman"/>
          <w:szCs w:val="21"/>
        </w:rPr>
      </w:pPr>
      <w:r w:rsidRPr="00F0617A">
        <w:rPr>
          <w:rFonts w:ascii="Times New Roman" w:hAnsi="Times New Roman" w:cs="Times New Roman"/>
          <w:szCs w:val="21"/>
        </w:rPr>
        <w:lastRenderedPageBreak/>
        <w:t>For the aforementioned purpose, RAN1 seeks a few answers from RAN4 on the following questions (in the context of L1/L2-centric inter-cell mobility) in order to proceed further. Note that thus far (cf. R1-2102008, R1-2102248):</w:t>
      </w:r>
    </w:p>
    <w:p w:rsidR="00F0617A" w:rsidRPr="00F0617A" w:rsidRDefault="00F0617A" w:rsidP="00AC56C2">
      <w:pPr>
        <w:pStyle w:val="af5"/>
        <w:numPr>
          <w:ilvl w:val="0"/>
          <w:numId w:val="39"/>
        </w:numPr>
        <w:spacing w:afterLines="50" w:after="120"/>
        <w:rPr>
          <w:rFonts w:ascii="Times New Roman" w:hAnsi="Times New Roman" w:cs="Times New Roman"/>
          <w:szCs w:val="21"/>
        </w:rPr>
      </w:pPr>
      <w:r w:rsidRPr="00F0617A">
        <w:rPr>
          <w:rFonts w:ascii="Times New Roman" w:hAnsi="Times New Roman" w:cs="Times New Roman"/>
          <w:szCs w:val="21"/>
        </w:rPr>
        <w:t>Only SSB has been agreed to be used for non-serving cell measurement RS. CSI-RS is still TBD</w:t>
      </w:r>
    </w:p>
    <w:p w:rsidR="00BB55B7" w:rsidRPr="00F0617A" w:rsidRDefault="00F0617A" w:rsidP="00AC56C2">
      <w:pPr>
        <w:pStyle w:val="af5"/>
        <w:numPr>
          <w:ilvl w:val="0"/>
          <w:numId w:val="39"/>
        </w:numPr>
        <w:spacing w:afterLines="50" w:after="120"/>
        <w:rPr>
          <w:rFonts w:ascii="Times New Roman" w:hAnsi="Times New Roman" w:cs="Times New Roman"/>
          <w:szCs w:val="21"/>
        </w:rPr>
      </w:pPr>
      <w:r w:rsidRPr="00F0617A">
        <w:rPr>
          <w:rFonts w:ascii="Times New Roman" w:hAnsi="Times New Roman" w:cs="Times New Roman"/>
          <w:szCs w:val="21"/>
        </w:rPr>
        <w:t>Only intra-frequency measurement has been agreed and inter-frequency measurement is still TBD</w:t>
      </w:r>
    </w:p>
    <w:tbl>
      <w:tblPr>
        <w:tblStyle w:val="af7"/>
        <w:tblpPr w:leftFromText="180" w:rightFromText="180" w:vertAnchor="text" w:horzAnchor="margin" w:tblpY="111"/>
        <w:tblW w:w="0" w:type="auto"/>
        <w:tblLook w:val="04A0" w:firstRow="1" w:lastRow="0" w:firstColumn="1" w:lastColumn="0" w:noHBand="0" w:noVBand="1"/>
      </w:tblPr>
      <w:tblGrid>
        <w:gridCol w:w="9629"/>
      </w:tblGrid>
      <w:tr w:rsidR="000B216F" w:rsidRPr="004529C7" w:rsidTr="000B216F">
        <w:trPr>
          <w:trHeight w:val="1379"/>
        </w:trPr>
        <w:tc>
          <w:tcPr>
            <w:tcW w:w="9629" w:type="dxa"/>
          </w:tcPr>
          <w:p w:rsidR="000B216F" w:rsidRPr="00F0617A" w:rsidRDefault="00F0617A" w:rsidP="00AC56C2">
            <w:pPr>
              <w:snapToGrid w:val="0"/>
              <w:spacing w:afterLines="50" w:after="120"/>
              <w:rPr>
                <w:sz w:val="22"/>
              </w:rPr>
            </w:pPr>
            <w:r w:rsidRPr="00033CA1">
              <w:rPr>
                <w:b/>
                <w:bCs/>
                <w:sz w:val="22"/>
              </w:rPr>
              <w:t>Question 1</w:t>
            </w:r>
            <w:r w:rsidRPr="00033CA1">
              <w:rPr>
                <w:sz w:val="22"/>
              </w:rPr>
              <w:t xml:space="preserve">: </w:t>
            </w:r>
            <w:r>
              <w:rPr>
                <w:sz w:val="22"/>
              </w:rPr>
              <w:t>In the context of L1/L2-centric inter-cell mobility, w</w:t>
            </w:r>
            <w:r w:rsidRPr="00033CA1">
              <w:rPr>
                <w:sz w:val="22"/>
              </w:rPr>
              <w:t>hat are the implication</w:t>
            </w:r>
            <w:r>
              <w:rPr>
                <w:sz w:val="22"/>
              </w:rPr>
              <w:t>(</w:t>
            </w:r>
            <w:r w:rsidRPr="00033CA1">
              <w:rPr>
                <w:sz w:val="22"/>
              </w:rPr>
              <w:t>s</w:t>
            </w:r>
            <w:r>
              <w:rPr>
                <w:sz w:val="22"/>
              </w:rPr>
              <w:t>)/benefit(s), if any,</w:t>
            </w:r>
            <w:r w:rsidRPr="00033CA1">
              <w:rPr>
                <w:sz w:val="22"/>
              </w:rPr>
              <w:t xml:space="preserve"> </w:t>
            </w:r>
            <w:r>
              <w:rPr>
                <w:sz w:val="22"/>
              </w:rPr>
              <w:t>(</w:t>
            </w:r>
            <w:r w:rsidRPr="00033CA1">
              <w:rPr>
                <w:sz w:val="22"/>
              </w:rPr>
              <w:t>from RAN4 perspective</w:t>
            </w:r>
            <w:r>
              <w:rPr>
                <w:sz w:val="22"/>
              </w:rPr>
              <w:t>)</w:t>
            </w:r>
            <w:r w:rsidRPr="00033CA1">
              <w:rPr>
                <w:sz w:val="22"/>
              </w:rPr>
              <w:t xml:space="preserve"> of limiting the measurement for </w:t>
            </w:r>
            <w:r>
              <w:rPr>
                <w:sz w:val="22"/>
              </w:rPr>
              <w:t>L1</w:t>
            </w:r>
            <w:r w:rsidRPr="00033CA1">
              <w:rPr>
                <w:sz w:val="22"/>
              </w:rPr>
              <w:t xml:space="preserve">-RSRP on </w:t>
            </w:r>
            <w:r>
              <w:rPr>
                <w:sz w:val="22"/>
              </w:rPr>
              <w:t>measurement RS</w:t>
            </w:r>
            <w:r w:rsidRPr="00033CA1">
              <w:rPr>
                <w:sz w:val="22"/>
              </w:rPr>
              <w:t xml:space="preserve"> of </w:t>
            </w:r>
            <w:r>
              <w:rPr>
                <w:sz w:val="22"/>
              </w:rPr>
              <w:t xml:space="preserve">a </w:t>
            </w:r>
            <w:r w:rsidRPr="00033CA1">
              <w:rPr>
                <w:sz w:val="22"/>
              </w:rPr>
              <w:t xml:space="preserve">non-serving cell within </w:t>
            </w:r>
            <w:r>
              <w:rPr>
                <w:sz w:val="22"/>
              </w:rPr>
              <w:t xml:space="preserve">the </w:t>
            </w:r>
            <w:r w:rsidRPr="00033CA1">
              <w:rPr>
                <w:sz w:val="22"/>
              </w:rPr>
              <w:t xml:space="preserve">SMTC </w:t>
            </w:r>
            <w:r>
              <w:rPr>
                <w:sz w:val="22"/>
              </w:rPr>
              <w:t>window(s) (only applicable to SSB) for the above agreed</w:t>
            </w:r>
            <w:r w:rsidRPr="00033CA1">
              <w:rPr>
                <w:sz w:val="22"/>
              </w:rPr>
              <w:t xml:space="preserve"> L1-RSRP reporting? Conversely, what are the implication</w:t>
            </w:r>
            <w:r>
              <w:rPr>
                <w:sz w:val="22"/>
              </w:rPr>
              <w:t>(</w:t>
            </w:r>
            <w:r w:rsidRPr="00033CA1">
              <w:rPr>
                <w:sz w:val="22"/>
              </w:rPr>
              <w:t>s</w:t>
            </w:r>
            <w:r>
              <w:rPr>
                <w:sz w:val="22"/>
              </w:rPr>
              <w:t>)/benefit(s), if any,</w:t>
            </w:r>
            <w:r w:rsidRPr="00033CA1">
              <w:rPr>
                <w:sz w:val="22"/>
              </w:rPr>
              <w:t xml:space="preserve"> of not limiting the measurement for </w:t>
            </w:r>
            <w:r>
              <w:rPr>
                <w:sz w:val="22"/>
              </w:rPr>
              <w:t>L1</w:t>
            </w:r>
            <w:r w:rsidRPr="00033CA1">
              <w:rPr>
                <w:sz w:val="22"/>
              </w:rPr>
              <w:t xml:space="preserve">-RSRP </w:t>
            </w:r>
            <w:r>
              <w:rPr>
                <w:sz w:val="22"/>
              </w:rPr>
              <w:t xml:space="preserve">to be carried out </w:t>
            </w:r>
            <w:r w:rsidRPr="00033CA1">
              <w:rPr>
                <w:sz w:val="22"/>
              </w:rPr>
              <w:t xml:space="preserve">within </w:t>
            </w:r>
            <w:r>
              <w:rPr>
                <w:sz w:val="22"/>
              </w:rPr>
              <w:t xml:space="preserve">the </w:t>
            </w:r>
            <w:r w:rsidRPr="00033CA1">
              <w:rPr>
                <w:sz w:val="22"/>
              </w:rPr>
              <w:t>SMTC</w:t>
            </w:r>
            <w:r>
              <w:rPr>
                <w:sz w:val="22"/>
              </w:rPr>
              <w:t xml:space="preserve"> window(s)</w:t>
            </w:r>
            <w:r w:rsidRPr="00033CA1">
              <w:rPr>
                <w:sz w:val="22"/>
              </w:rPr>
              <w:t>?</w:t>
            </w:r>
          </w:p>
        </w:tc>
      </w:tr>
    </w:tbl>
    <w:p w:rsidR="002A3969" w:rsidRDefault="00AC389B" w:rsidP="00AC56C2">
      <w:pPr>
        <w:spacing w:beforeLines="50" w:before="120" w:afterLines="50" w:after="120"/>
        <w:rPr>
          <w:rFonts w:ascii="Times New Roman" w:hAnsi="Times New Roman" w:cs="Times New Roman"/>
          <w:szCs w:val="21"/>
          <w:lang w:val="en-GB"/>
        </w:rPr>
      </w:pPr>
      <w:r>
        <w:rPr>
          <w:rFonts w:ascii="Times New Roman" w:hAnsi="Times New Roman" w:cs="Times New Roman" w:hint="eastAsia"/>
          <w:szCs w:val="21"/>
          <w:lang w:val="en-GB"/>
        </w:rPr>
        <w:t>F</w:t>
      </w:r>
      <w:r>
        <w:rPr>
          <w:rFonts w:ascii="Times New Roman" w:hAnsi="Times New Roman" w:cs="Times New Roman"/>
          <w:szCs w:val="21"/>
          <w:lang w:val="en-GB"/>
        </w:rPr>
        <w:t xml:space="preserve">or Q1, if </w:t>
      </w:r>
      <w:r w:rsidRPr="00AC389B">
        <w:rPr>
          <w:rFonts w:ascii="Times New Roman" w:hAnsi="Times New Roman" w:cs="Times New Roman"/>
          <w:szCs w:val="21"/>
          <w:lang w:val="en-GB"/>
        </w:rPr>
        <w:t>limiting the measurement for L1-RSRP on measurement RS of a non-serving cell within the SMTC window</w:t>
      </w:r>
      <w:r>
        <w:rPr>
          <w:rFonts w:ascii="Times New Roman" w:hAnsi="Times New Roman" w:cs="Times New Roman"/>
          <w:szCs w:val="21"/>
          <w:lang w:val="en-GB"/>
        </w:rPr>
        <w:t>,</w:t>
      </w:r>
      <w:r w:rsidRPr="00AC389B">
        <w:t xml:space="preserve"> </w:t>
      </w:r>
      <w:r w:rsidRPr="00AC389B">
        <w:rPr>
          <w:rFonts w:ascii="Times New Roman" w:hAnsi="Times New Roman" w:cs="Times New Roman"/>
          <w:szCs w:val="21"/>
          <w:lang w:val="en-GB"/>
        </w:rPr>
        <w:t xml:space="preserve">SSB is partially or fully overlapped with SMTC period (TSSB = </w:t>
      </w:r>
      <w:proofErr w:type="spellStart"/>
      <w:r w:rsidRPr="00AC389B">
        <w:rPr>
          <w:rFonts w:ascii="Times New Roman" w:hAnsi="Times New Roman" w:cs="Times New Roman"/>
          <w:szCs w:val="21"/>
          <w:lang w:val="en-GB"/>
        </w:rPr>
        <w:t>TSMTCperiod</w:t>
      </w:r>
      <w:proofErr w:type="spellEnd"/>
      <w:r w:rsidRPr="00AC389B">
        <w:rPr>
          <w:rFonts w:ascii="Times New Roman" w:hAnsi="Times New Roman" w:cs="Times New Roman"/>
          <w:szCs w:val="21"/>
          <w:lang w:val="en-GB"/>
        </w:rPr>
        <w:t>)</w:t>
      </w:r>
      <w:r>
        <w:rPr>
          <w:rFonts w:ascii="Times New Roman" w:hAnsi="Times New Roman" w:cs="Times New Roman"/>
          <w:szCs w:val="21"/>
          <w:lang w:val="en-GB"/>
        </w:rPr>
        <w:t xml:space="preserve">. The scaling factor P for </w:t>
      </w:r>
      <w:r w:rsidRPr="009C5807">
        <w:t>the measurement period of T</w:t>
      </w:r>
      <w:r w:rsidRPr="009C5807">
        <w:rPr>
          <w:vertAlign w:val="subscript"/>
        </w:rPr>
        <w:t>L1-RSRP_Measurement_Period_SSB</w:t>
      </w:r>
      <w:r>
        <w:rPr>
          <w:vertAlign w:val="subscript"/>
        </w:rPr>
        <w:t xml:space="preserve"> </w:t>
      </w:r>
      <w:r>
        <w:rPr>
          <w:rFonts w:ascii="Times New Roman" w:hAnsi="Times New Roman" w:cs="Times New Roman"/>
          <w:szCs w:val="21"/>
          <w:lang w:val="en-GB"/>
        </w:rPr>
        <w:t xml:space="preserve">should be considered based on the location relation of SSB, SMTC, and MG. For example, </w:t>
      </w:r>
    </w:p>
    <w:p w:rsidR="00AC389B" w:rsidRPr="00BF4794" w:rsidRDefault="00AC389B" w:rsidP="00AC56C2">
      <w:pPr>
        <w:pStyle w:val="B1"/>
        <w:numPr>
          <w:ilvl w:val="0"/>
          <w:numId w:val="42"/>
        </w:numPr>
        <w:spacing w:afterLines="50" w:after="120"/>
        <w:rPr>
          <w:rFonts w:ascii="Times New Roman" w:hAnsi="Times New Roman" w:cs="Times New Roman"/>
          <w:i/>
          <w:color w:val="000000" w:themeColor="text1"/>
        </w:rPr>
      </w:pPr>
      <w:r w:rsidRPr="00BF4794">
        <w:rPr>
          <w:rFonts w:ascii="Times New Roman" w:hAnsi="Times New Roman" w:cs="Times New Roman"/>
          <w:i/>
          <w:color w:val="000000" w:themeColor="text1"/>
        </w:rPr>
        <w:t xml:space="preserve">P is </w:t>
      </w:r>
      <w:proofErr w:type="spellStart"/>
      <w:r w:rsidRPr="00BF4794">
        <w:rPr>
          <w:rFonts w:ascii="Times New Roman" w:hAnsi="Times New Roman" w:cs="Times New Roman"/>
          <w:i/>
          <w:color w:val="000000" w:themeColor="text1"/>
        </w:rPr>
        <w:t>P</w:t>
      </w:r>
      <w:r w:rsidRPr="00BF4794">
        <w:rPr>
          <w:rFonts w:ascii="Times New Roman" w:hAnsi="Times New Roman" w:cs="Times New Roman"/>
          <w:i/>
          <w:color w:val="000000" w:themeColor="text1"/>
          <w:vertAlign w:val="subscript"/>
        </w:rPr>
        <w:t>sharing</w:t>
      </w:r>
      <w:proofErr w:type="spellEnd"/>
      <w:r w:rsidRPr="00BF4794">
        <w:rPr>
          <w:rFonts w:ascii="Times New Roman" w:hAnsi="Times New Roman" w:cs="Times New Roman"/>
          <w:i/>
          <w:color w:val="000000" w:themeColor="text1"/>
          <w:vertAlign w:val="subscript"/>
        </w:rPr>
        <w:t xml:space="preserve"> factor</w:t>
      </w:r>
      <w:r w:rsidRPr="00BF4794">
        <w:rPr>
          <w:rFonts w:ascii="Times New Roman" w:hAnsi="Times New Roman" w:cs="Times New Roman"/>
          <w:i/>
          <w:color w:val="000000" w:themeColor="text1"/>
        </w:rPr>
        <w:t>, when SSB is not overlapped with measurement gap and SSB is partially or fully overlapped with SMTC period (T</w:t>
      </w:r>
      <w:r w:rsidRPr="00BF4794">
        <w:rPr>
          <w:rFonts w:ascii="Times New Roman" w:hAnsi="Times New Roman" w:cs="Times New Roman"/>
          <w:i/>
          <w:color w:val="000000" w:themeColor="text1"/>
          <w:vertAlign w:val="subscript"/>
        </w:rPr>
        <w:t>SSB</w:t>
      </w:r>
      <w:r w:rsidRPr="00BF4794">
        <w:rPr>
          <w:rFonts w:ascii="Times New Roman" w:hAnsi="Times New Roman" w:cs="Times New Roman"/>
          <w:i/>
          <w:color w:val="000000" w:themeColor="text1"/>
        </w:rPr>
        <w:t xml:space="preserve"> = </w:t>
      </w:r>
      <w:proofErr w:type="spellStart"/>
      <w:r w:rsidRPr="00BF4794">
        <w:rPr>
          <w:rFonts w:ascii="Times New Roman" w:hAnsi="Times New Roman" w:cs="Times New Roman"/>
          <w:i/>
          <w:color w:val="000000" w:themeColor="text1"/>
        </w:rPr>
        <w:t>T</w:t>
      </w:r>
      <w:r w:rsidRPr="00BF4794">
        <w:rPr>
          <w:rFonts w:ascii="Times New Roman" w:hAnsi="Times New Roman" w:cs="Times New Roman"/>
          <w:i/>
          <w:color w:val="000000" w:themeColor="text1"/>
          <w:vertAlign w:val="subscript"/>
        </w:rPr>
        <w:t>SMTCperiod</w:t>
      </w:r>
      <w:proofErr w:type="spellEnd"/>
      <w:r w:rsidRPr="00BF4794">
        <w:rPr>
          <w:rFonts w:ascii="Times New Roman" w:hAnsi="Times New Roman" w:cs="Times New Roman"/>
          <w:i/>
          <w:color w:val="000000" w:themeColor="text1"/>
        </w:rPr>
        <w:t>).</w:t>
      </w:r>
    </w:p>
    <w:p w:rsidR="00AC389B" w:rsidRPr="00BF4794" w:rsidRDefault="00AC389B" w:rsidP="00AC56C2">
      <w:pPr>
        <w:pStyle w:val="B1"/>
        <w:numPr>
          <w:ilvl w:val="0"/>
          <w:numId w:val="42"/>
        </w:numPr>
        <w:spacing w:afterLines="50" w:after="120"/>
        <w:rPr>
          <w:rFonts w:ascii="Times New Roman" w:hAnsi="Times New Roman" w:cs="Times New Roman"/>
          <w:i/>
          <w:color w:val="000000" w:themeColor="text1"/>
        </w:rPr>
      </w:pPr>
      <w:r w:rsidRPr="00BF4794">
        <w:rPr>
          <w:rFonts w:ascii="Times New Roman" w:hAnsi="Times New Roman" w:cs="Times New Roman"/>
          <w:i/>
          <w:color w:val="000000" w:themeColor="text1"/>
        </w:rPr>
        <w:t xml:space="preserve">P is </w:t>
      </w:r>
      <m:oMath>
        <m:r>
          <w:rPr>
            <w:rFonts w:ascii="Cambria Math" w:hAnsi="Cambria Math" w:cs="Times New Roman"/>
            <w:color w:val="000000" w:themeColor="text1"/>
          </w:rPr>
          <m:t xml:space="preserve"> </m:t>
        </m:r>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P</m:t>
                </m:r>
              </m:e>
              <m:sub>
                <m:r>
                  <w:rPr>
                    <w:rFonts w:ascii="Cambria Math" w:hAnsi="Cambria Math" w:cs="Times New Roman"/>
                    <w:color w:val="000000" w:themeColor="text1"/>
                  </w:rPr>
                  <m:t>sharing factor</m:t>
                </m:r>
              </m:sub>
            </m:sSub>
          </m:num>
          <m:den>
            <m:r>
              <w:rPr>
                <w:rFonts w:ascii="Cambria Math" w:hAnsi="Cambria Math" w:cs="Times New Roman"/>
                <w:color w:val="000000" w:themeColor="text1"/>
              </w:rPr>
              <m:t>1-</m:t>
            </m:r>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SSB</m:t>
                    </m:r>
                  </m:sub>
                </m:sSub>
              </m:num>
              <m:den>
                <m:r>
                  <w:rPr>
                    <w:rFonts w:ascii="Cambria Math" w:hAnsi="Cambria Math" w:cs="Times New Roman"/>
                    <w:color w:val="000000" w:themeColor="text1"/>
                  </w:rPr>
                  <m:t>MRGP</m:t>
                </m:r>
              </m:den>
            </m:f>
          </m:den>
        </m:f>
      </m:oMath>
      <w:r w:rsidRPr="00BF4794">
        <w:rPr>
          <w:rFonts w:ascii="Times New Roman" w:hAnsi="Times New Roman" w:cs="Times New Roman"/>
          <w:i/>
          <w:color w:val="000000" w:themeColor="text1"/>
        </w:rPr>
        <w:t>, when SSB is partially overlapped with measurement gap and SSB is fully overlapped with SMTC occasion (T</w:t>
      </w:r>
      <w:r w:rsidRPr="00BF4794">
        <w:rPr>
          <w:rFonts w:ascii="Times New Roman" w:hAnsi="Times New Roman" w:cs="Times New Roman"/>
          <w:i/>
          <w:color w:val="000000" w:themeColor="text1"/>
          <w:vertAlign w:val="subscript"/>
        </w:rPr>
        <w:t>SSB</w:t>
      </w:r>
      <w:r w:rsidRPr="00BF4794">
        <w:rPr>
          <w:rFonts w:ascii="Times New Roman" w:hAnsi="Times New Roman" w:cs="Times New Roman"/>
          <w:i/>
          <w:color w:val="000000" w:themeColor="text1"/>
        </w:rPr>
        <w:t xml:space="preserve"> = </w:t>
      </w:r>
      <w:proofErr w:type="spellStart"/>
      <w:r w:rsidRPr="00BF4794">
        <w:rPr>
          <w:rFonts w:ascii="Times New Roman" w:hAnsi="Times New Roman" w:cs="Times New Roman"/>
          <w:i/>
          <w:color w:val="000000" w:themeColor="text1"/>
        </w:rPr>
        <w:t>T</w:t>
      </w:r>
      <w:r w:rsidRPr="00BF4794">
        <w:rPr>
          <w:rFonts w:ascii="Times New Roman" w:hAnsi="Times New Roman" w:cs="Times New Roman"/>
          <w:i/>
          <w:color w:val="000000" w:themeColor="text1"/>
          <w:vertAlign w:val="subscript"/>
        </w:rPr>
        <w:t>SMTCperiod</w:t>
      </w:r>
      <w:proofErr w:type="spellEnd"/>
      <w:r w:rsidRPr="00BF4794">
        <w:rPr>
          <w:rFonts w:ascii="Times New Roman" w:hAnsi="Times New Roman" w:cs="Times New Roman"/>
          <w:i/>
          <w:color w:val="000000" w:themeColor="text1"/>
        </w:rPr>
        <w:t>) and SMTC occasion is partially overlapped with measurement</w:t>
      </w:r>
      <w:bookmarkStart w:id="0" w:name="_GoBack"/>
      <w:bookmarkEnd w:id="0"/>
      <w:r w:rsidRPr="00BF4794">
        <w:rPr>
          <w:rFonts w:ascii="Times New Roman" w:hAnsi="Times New Roman" w:cs="Times New Roman"/>
          <w:i/>
          <w:color w:val="000000" w:themeColor="text1"/>
        </w:rPr>
        <w:t xml:space="preserve"> gap (</w:t>
      </w:r>
      <w:proofErr w:type="spellStart"/>
      <w:r w:rsidRPr="00BF4794">
        <w:rPr>
          <w:rFonts w:ascii="Times New Roman" w:hAnsi="Times New Roman" w:cs="Times New Roman"/>
          <w:i/>
          <w:color w:val="000000" w:themeColor="text1"/>
        </w:rPr>
        <w:t>T</w:t>
      </w:r>
      <w:r w:rsidRPr="00BF4794">
        <w:rPr>
          <w:rFonts w:ascii="Times New Roman" w:hAnsi="Times New Roman" w:cs="Times New Roman"/>
          <w:i/>
          <w:color w:val="000000" w:themeColor="text1"/>
          <w:vertAlign w:val="subscript"/>
        </w:rPr>
        <w:t>SMTCperiod</w:t>
      </w:r>
      <w:proofErr w:type="spellEnd"/>
      <w:r w:rsidRPr="00BF4794">
        <w:rPr>
          <w:rFonts w:ascii="Times New Roman" w:hAnsi="Times New Roman" w:cs="Times New Roman"/>
          <w:i/>
          <w:color w:val="000000" w:themeColor="text1"/>
        </w:rPr>
        <w:t xml:space="preserve"> &lt; MGRP)</w:t>
      </w:r>
    </w:p>
    <w:p w:rsidR="00AC389B" w:rsidRDefault="00AC389B" w:rsidP="00AC56C2">
      <w:pPr>
        <w:spacing w:afterLines="50" w:after="120"/>
        <w:rPr>
          <w:rFonts w:ascii="Times New Roman" w:hAnsi="Times New Roman" w:cs="Times New Roman"/>
          <w:szCs w:val="21"/>
          <w:lang w:val="en-GB"/>
        </w:rPr>
      </w:pPr>
      <w:r w:rsidRPr="00AC389B">
        <w:rPr>
          <w:rFonts w:ascii="Times New Roman" w:hAnsi="Times New Roman" w:cs="Times New Roman"/>
          <w:szCs w:val="21"/>
          <w:lang w:val="en-GB"/>
        </w:rPr>
        <w:t xml:space="preserve">Longer evaluation period would be expected if the combination of SSB, SMTC occasion and measurement gap configurations does not meet </w:t>
      </w:r>
      <w:r>
        <w:rPr>
          <w:rFonts w:ascii="Times New Roman" w:hAnsi="Times New Roman" w:cs="Times New Roman"/>
          <w:szCs w:val="21"/>
          <w:lang w:val="en-GB"/>
        </w:rPr>
        <w:t>the</w:t>
      </w:r>
      <w:r w:rsidRPr="00AC389B">
        <w:rPr>
          <w:rFonts w:ascii="Times New Roman" w:hAnsi="Times New Roman" w:cs="Times New Roman"/>
          <w:szCs w:val="21"/>
          <w:lang w:val="en-GB"/>
        </w:rPr>
        <w:t xml:space="preserve"> conditions</w:t>
      </w:r>
      <w:r>
        <w:rPr>
          <w:rFonts w:ascii="Times New Roman" w:hAnsi="Times New Roman" w:cs="Times New Roman"/>
          <w:szCs w:val="21"/>
          <w:lang w:val="en-GB"/>
        </w:rPr>
        <w:t xml:space="preserve"> in TS 38.133 section 9.5.4, e.g., </w:t>
      </w:r>
      <w:r w:rsidRPr="00AC389B">
        <w:rPr>
          <w:rFonts w:ascii="Times New Roman" w:hAnsi="Times New Roman" w:cs="Times New Roman"/>
          <w:szCs w:val="21"/>
          <w:lang w:val="en-GB"/>
        </w:rPr>
        <w:t>not limiting the measurement for L1-RSRP to be carried out within the SMTC windows.</w:t>
      </w:r>
    </w:p>
    <w:p w:rsidR="00FD116D" w:rsidRPr="00AC56C2" w:rsidRDefault="00FD116D" w:rsidP="00AC56C2">
      <w:pPr>
        <w:spacing w:afterLines="50" w:after="120"/>
        <w:rPr>
          <w:rFonts w:ascii="Times New Roman" w:hAnsi="Times New Roman" w:cs="Times New Roman"/>
          <w:b/>
          <w:i/>
          <w:szCs w:val="21"/>
          <w:lang w:val="en-GB"/>
        </w:rPr>
      </w:pPr>
      <w:r w:rsidRPr="00AC56C2">
        <w:rPr>
          <w:rFonts w:ascii="Times New Roman" w:hAnsi="Times New Roman" w:cs="Times New Roman"/>
          <w:b/>
          <w:i/>
          <w:sz w:val="22"/>
        </w:rPr>
        <w:t xml:space="preserve">Observation 1: </w:t>
      </w:r>
      <w:r w:rsidRPr="00AC56C2">
        <w:rPr>
          <w:rFonts w:ascii="Times New Roman" w:hAnsi="Times New Roman" w:cs="Times New Roman"/>
          <w:b/>
          <w:i/>
          <w:szCs w:val="21"/>
          <w:lang w:val="en-GB"/>
        </w:rPr>
        <w:t>Longer evaluation period would be expected, if not limiting the measurement for L1-RSRP to be carried out within the SMTC windows.</w:t>
      </w:r>
    </w:p>
    <w:p w:rsidR="00AC389B" w:rsidRPr="00AC389B" w:rsidRDefault="00AC389B" w:rsidP="00AC56C2">
      <w:pPr>
        <w:spacing w:afterLines="50" w:after="120"/>
        <w:rPr>
          <w:rFonts w:ascii="Times New Roman" w:hAnsi="Times New Roman" w:cs="Times New Roman"/>
          <w:szCs w:val="21"/>
          <w:lang w:val="en-GB"/>
        </w:rPr>
      </w:pPr>
    </w:p>
    <w:tbl>
      <w:tblPr>
        <w:tblStyle w:val="af7"/>
        <w:tblW w:w="0" w:type="auto"/>
        <w:tblLook w:val="04A0" w:firstRow="1" w:lastRow="0" w:firstColumn="1" w:lastColumn="0" w:noHBand="0" w:noVBand="1"/>
      </w:tblPr>
      <w:tblGrid>
        <w:gridCol w:w="9629"/>
      </w:tblGrid>
      <w:tr w:rsidR="002A3969" w:rsidRPr="004529C7" w:rsidTr="00460319">
        <w:tc>
          <w:tcPr>
            <w:tcW w:w="9629" w:type="dxa"/>
          </w:tcPr>
          <w:p w:rsidR="002A3969" w:rsidRPr="00AC389B" w:rsidRDefault="00F0617A" w:rsidP="00AC56C2">
            <w:pPr>
              <w:snapToGrid w:val="0"/>
              <w:spacing w:afterLines="50" w:after="120"/>
              <w:rPr>
                <w:sz w:val="22"/>
              </w:rPr>
            </w:pPr>
            <w:r w:rsidRPr="00033CA1">
              <w:rPr>
                <w:b/>
                <w:bCs/>
                <w:sz w:val="22"/>
              </w:rPr>
              <w:t>Question 2</w:t>
            </w:r>
            <w:r w:rsidRPr="00033CA1">
              <w:rPr>
                <w:sz w:val="22"/>
              </w:rPr>
              <w:t xml:space="preserve">: </w:t>
            </w:r>
            <w:r>
              <w:rPr>
                <w:sz w:val="22"/>
              </w:rPr>
              <w:t>In the context of L1/L2-centric inter-cell mobility, f</w:t>
            </w:r>
            <w:r w:rsidRPr="00033CA1">
              <w:rPr>
                <w:sz w:val="22"/>
              </w:rPr>
              <w:t xml:space="preserve">or measurement on </w:t>
            </w:r>
            <w:r>
              <w:rPr>
                <w:sz w:val="22"/>
              </w:rPr>
              <w:t>measurement RS</w:t>
            </w:r>
            <w:r w:rsidRPr="00033CA1">
              <w:rPr>
                <w:sz w:val="22"/>
              </w:rPr>
              <w:t xml:space="preserve"> of </w:t>
            </w:r>
            <w:r>
              <w:rPr>
                <w:sz w:val="22"/>
              </w:rPr>
              <w:t xml:space="preserve">a </w:t>
            </w:r>
            <w:r w:rsidRPr="00033CA1">
              <w:rPr>
                <w:sz w:val="22"/>
              </w:rPr>
              <w:t xml:space="preserve">non-serving cell, with the </w:t>
            </w:r>
            <w:r>
              <w:rPr>
                <w:sz w:val="22"/>
              </w:rPr>
              <w:t>above agreed</w:t>
            </w:r>
            <w:r w:rsidRPr="00033CA1">
              <w:rPr>
                <w:sz w:val="22"/>
              </w:rPr>
              <w:t xml:space="preserve"> L1-RSRP reporting, if the receive timing of the </w:t>
            </w:r>
            <w:r>
              <w:rPr>
                <w:sz w:val="22"/>
              </w:rPr>
              <w:t>measurement RS</w:t>
            </w:r>
            <w:r w:rsidRPr="00033CA1">
              <w:rPr>
                <w:sz w:val="22"/>
              </w:rPr>
              <w:t xml:space="preserve"> from </w:t>
            </w:r>
            <w:r>
              <w:rPr>
                <w:sz w:val="22"/>
              </w:rPr>
              <w:t xml:space="preserve">the </w:t>
            </w:r>
            <w:r w:rsidRPr="00033CA1">
              <w:rPr>
                <w:sz w:val="22"/>
              </w:rPr>
              <w:t>non-serving cell can be different from the receive timing of the signals from the serving cell, what are the implication</w:t>
            </w:r>
            <w:r>
              <w:rPr>
                <w:sz w:val="22"/>
              </w:rPr>
              <w:t>(</w:t>
            </w:r>
            <w:r w:rsidRPr="00033CA1">
              <w:rPr>
                <w:sz w:val="22"/>
              </w:rPr>
              <w:t>s</w:t>
            </w:r>
            <w:r>
              <w:rPr>
                <w:sz w:val="22"/>
              </w:rPr>
              <w:t>)/benefit(s), if any,</w:t>
            </w:r>
            <w:r w:rsidRPr="00033CA1">
              <w:rPr>
                <w:sz w:val="22"/>
              </w:rPr>
              <w:t xml:space="preserve"> from RAN4 perspective</w:t>
            </w:r>
          </w:p>
        </w:tc>
      </w:tr>
    </w:tbl>
    <w:p w:rsidR="004C5281" w:rsidRPr="00FD116D" w:rsidRDefault="00AC389B" w:rsidP="00AC56C2">
      <w:pPr>
        <w:spacing w:beforeLines="50" w:before="120" w:afterLines="50" w:after="120"/>
        <w:rPr>
          <w:rFonts w:ascii="Times New Roman" w:hAnsi="Times New Roman" w:cs="Times New Roman"/>
          <w:sz w:val="22"/>
        </w:rPr>
      </w:pPr>
      <w:r w:rsidRPr="00FD116D">
        <w:rPr>
          <w:rFonts w:ascii="Times New Roman" w:hAnsi="Times New Roman" w:cs="Times New Roman"/>
          <w:sz w:val="22"/>
        </w:rPr>
        <w:t>I</w:t>
      </w:r>
      <w:r w:rsidR="00FD116D" w:rsidRPr="00FD116D">
        <w:rPr>
          <w:rFonts w:ascii="Times New Roman" w:hAnsi="Times New Roman" w:cs="Times New Roman"/>
          <w:sz w:val="22"/>
        </w:rPr>
        <w:t xml:space="preserve">t is valid that </w:t>
      </w:r>
      <w:r w:rsidRPr="00FD116D">
        <w:rPr>
          <w:rFonts w:ascii="Times New Roman" w:hAnsi="Times New Roman" w:cs="Times New Roman"/>
          <w:sz w:val="22"/>
        </w:rPr>
        <w:t>the receive timing of the measurement RS from the non-serving cell can be different from the receive timing of the signals from the serving cell</w:t>
      </w:r>
      <w:r w:rsidR="00FD116D" w:rsidRPr="00FD116D">
        <w:rPr>
          <w:rFonts w:ascii="Times New Roman" w:hAnsi="Times New Roman" w:cs="Times New Roman"/>
          <w:sz w:val="22"/>
        </w:rPr>
        <w:t>.</w:t>
      </w:r>
      <w:r w:rsidRPr="00FD116D">
        <w:rPr>
          <w:rFonts w:ascii="Times New Roman" w:hAnsi="Times New Roman" w:cs="Times New Roman"/>
          <w:sz w:val="22"/>
        </w:rPr>
        <w:t xml:space="preserve"> UE should firstly finish cell search and fine timing tracking of non-serving cell</w:t>
      </w:r>
      <w:r w:rsidR="00FD116D" w:rsidRPr="00FD116D">
        <w:rPr>
          <w:rFonts w:ascii="Times New Roman" w:hAnsi="Times New Roman" w:cs="Times New Roman"/>
          <w:sz w:val="22"/>
        </w:rPr>
        <w:t xml:space="preserve">. And the time difference of NSC and SC should not exceed the </w:t>
      </w:r>
      <w:proofErr w:type="spellStart"/>
      <w:r w:rsidR="00FD116D" w:rsidRPr="00FD116D">
        <w:rPr>
          <w:rFonts w:ascii="Times New Roman" w:hAnsi="Times New Roman" w:cs="Times New Roman"/>
          <w:sz w:val="22"/>
        </w:rPr>
        <w:t>the</w:t>
      </w:r>
      <w:proofErr w:type="spellEnd"/>
      <w:r w:rsidR="00FD116D" w:rsidRPr="00FD116D">
        <w:rPr>
          <w:rFonts w:ascii="Times New Roman" w:hAnsi="Times New Roman" w:cs="Times New Roman"/>
          <w:sz w:val="22"/>
        </w:rPr>
        <w:t xml:space="preserve"> minimum requirement of UE (e.g., MRTD or CP). Otherwise, performance degradation should be expected for the measurement.</w:t>
      </w:r>
    </w:p>
    <w:p w:rsidR="00FD116D" w:rsidRDefault="00FD116D" w:rsidP="00AC56C2">
      <w:pPr>
        <w:spacing w:afterLines="50" w:after="120"/>
        <w:rPr>
          <w:rFonts w:ascii="Times New Roman" w:hAnsi="Times New Roman" w:cs="Times New Roman"/>
          <w:b/>
          <w:i/>
          <w:sz w:val="22"/>
        </w:rPr>
      </w:pPr>
      <w:r w:rsidRPr="00AC56C2">
        <w:rPr>
          <w:rFonts w:ascii="Times New Roman" w:hAnsi="Times New Roman" w:cs="Times New Roman"/>
          <w:b/>
          <w:i/>
          <w:sz w:val="22"/>
        </w:rPr>
        <w:t xml:space="preserve">Observation 2: The performance degradation should be expected for the measurement, if the time difference between the receive timing of the measurement RS from the non-serving cell and the receive timing of the signals from the serving cell exceed the minimum requirement of UE (e.g., MRTD or CP). </w:t>
      </w:r>
    </w:p>
    <w:p w:rsidR="00AC56C2" w:rsidRPr="00AC56C2" w:rsidRDefault="00AC56C2" w:rsidP="00AC56C2">
      <w:pPr>
        <w:spacing w:afterLines="50" w:after="120"/>
        <w:rPr>
          <w:rFonts w:ascii="Times New Roman" w:hAnsi="Times New Roman" w:cs="Times New Roman"/>
          <w:b/>
          <w:i/>
          <w:sz w:val="22"/>
        </w:rPr>
      </w:pPr>
    </w:p>
    <w:p w:rsidR="00CE0D5E" w:rsidRPr="00915A2E" w:rsidRDefault="00141644" w:rsidP="00AC56C2">
      <w:pPr>
        <w:pStyle w:val="1"/>
        <w:numPr>
          <w:ilvl w:val="0"/>
          <w:numId w:val="1"/>
        </w:numPr>
        <w:spacing w:before="0" w:afterLines="50" w:after="120"/>
        <w:jc w:val="both"/>
        <w:rPr>
          <w:rFonts w:ascii="Times New Roman" w:hAnsi="Times New Roman"/>
          <w:lang w:eastAsia="zh-CN"/>
        </w:rPr>
      </w:pPr>
      <w:r w:rsidRPr="00915A2E">
        <w:rPr>
          <w:rFonts w:ascii="Times New Roman" w:hAnsi="Times New Roman"/>
        </w:rPr>
        <w:t>Summary</w:t>
      </w:r>
    </w:p>
    <w:p w:rsidR="004C0364" w:rsidRDefault="006F7557" w:rsidP="00AC56C2">
      <w:pPr>
        <w:adjustRightInd w:val="0"/>
        <w:snapToGrid w:val="0"/>
        <w:spacing w:afterLines="50" w:after="120"/>
        <w:rPr>
          <w:rFonts w:ascii="Times New Roman" w:hAnsi="Times New Roman" w:cs="Times New Roman"/>
        </w:rPr>
      </w:pPr>
      <w:r w:rsidRPr="00915A2E">
        <w:rPr>
          <w:rFonts w:ascii="Times New Roman" w:hAnsi="Times New Roman" w:cs="Times New Roman"/>
        </w:rPr>
        <w:t>In this paper,</w:t>
      </w:r>
      <w:r w:rsidR="00FB24ED" w:rsidRPr="00915A2E">
        <w:rPr>
          <w:rFonts w:ascii="Times New Roman" w:hAnsi="Times New Roman" w:cs="Times New Roman"/>
        </w:rPr>
        <w:t xml:space="preserve"> </w:t>
      </w:r>
      <w:r w:rsidR="004529C7">
        <w:rPr>
          <w:rFonts w:ascii="Times New Roman" w:hAnsi="Times New Roman" w:cs="Times New Roman"/>
        </w:rPr>
        <w:t>w</w:t>
      </w:r>
      <w:r w:rsidR="009758A1" w:rsidRPr="00915A2E">
        <w:rPr>
          <w:rFonts w:ascii="Times New Roman" w:hAnsi="Times New Roman" w:cs="Times New Roman"/>
        </w:rPr>
        <w:t xml:space="preserve">e have the following </w:t>
      </w:r>
      <w:r w:rsidR="00FD116D">
        <w:rPr>
          <w:rFonts w:ascii="Times New Roman" w:hAnsi="Times New Roman" w:cs="Times New Roman"/>
        </w:rPr>
        <w:t>observations</w:t>
      </w:r>
      <w:r w:rsidR="004529C7">
        <w:rPr>
          <w:rFonts w:ascii="Times New Roman" w:hAnsi="Times New Roman" w:cs="Times New Roman"/>
        </w:rPr>
        <w:t>:</w:t>
      </w:r>
    </w:p>
    <w:p w:rsidR="00FD116D" w:rsidRPr="00AC56C2" w:rsidRDefault="00FD116D" w:rsidP="00AC56C2">
      <w:pPr>
        <w:spacing w:afterLines="50" w:after="120"/>
        <w:rPr>
          <w:rFonts w:ascii="Times New Roman" w:hAnsi="Times New Roman" w:cs="Times New Roman"/>
          <w:b/>
          <w:i/>
          <w:szCs w:val="21"/>
          <w:lang w:val="en-GB"/>
        </w:rPr>
      </w:pPr>
      <w:r w:rsidRPr="00AC56C2">
        <w:rPr>
          <w:rFonts w:ascii="Times New Roman" w:hAnsi="Times New Roman" w:cs="Times New Roman"/>
          <w:b/>
          <w:i/>
          <w:sz w:val="22"/>
        </w:rPr>
        <w:lastRenderedPageBreak/>
        <w:t xml:space="preserve">Observation 1: </w:t>
      </w:r>
      <w:r w:rsidRPr="00AC56C2">
        <w:rPr>
          <w:rFonts w:ascii="Times New Roman" w:hAnsi="Times New Roman" w:cs="Times New Roman"/>
          <w:b/>
          <w:i/>
          <w:szCs w:val="21"/>
          <w:lang w:val="en-GB"/>
        </w:rPr>
        <w:t>Longer evaluation period would be expected, if not limiting the measurement for L1-RSRP to be carried out within the SMTC windows.</w:t>
      </w:r>
    </w:p>
    <w:p w:rsidR="00FD116D" w:rsidRPr="00AC56C2" w:rsidRDefault="00FD116D" w:rsidP="00AC56C2">
      <w:pPr>
        <w:spacing w:afterLines="50" w:after="120"/>
        <w:rPr>
          <w:rFonts w:ascii="Times New Roman" w:hAnsi="Times New Roman" w:cs="Times New Roman"/>
          <w:b/>
          <w:i/>
          <w:sz w:val="22"/>
        </w:rPr>
      </w:pPr>
      <w:r w:rsidRPr="00AC56C2">
        <w:rPr>
          <w:rFonts w:ascii="Times New Roman" w:hAnsi="Times New Roman" w:cs="Times New Roman"/>
          <w:b/>
          <w:i/>
          <w:sz w:val="22"/>
        </w:rPr>
        <w:t xml:space="preserve">Observation 2: The performance degradation should be expected for the measurement, if the time difference between the receive timing of the measurement RS from the non-serving cell and the receive timing of the signals from the serving cell exceed the minimum requirement of UE (e.g., MRTD or CP). </w:t>
      </w:r>
    </w:p>
    <w:p w:rsidR="00D63646" w:rsidRPr="00915A2E" w:rsidRDefault="000F20AC" w:rsidP="00915A2E">
      <w:pPr>
        <w:pStyle w:val="1"/>
        <w:spacing w:after="50"/>
        <w:ind w:left="0" w:firstLine="0"/>
        <w:jc w:val="both"/>
        <w:rPr>
          <w:rFonts w:ascii="Times New Roman" w:hAnsi="Times New Roman"/>
        </w:rPr>
      </w:pPr>
      <w:r w:rsidRPr="00915A2E">
        <w:rPr>
          <w:rFonts w:ascii="Times New Roman" w:hAnsi="Times New Roman"/>
        </w:rPr>
        <w:t>References</w:t>
      </w:r>
    </w:p>
    <w:p w:rsidR="007B2DC8" w:rsidRPr="004529C7" w:rsidRDefault="00061909" w:rsidP="009D4076">
      <w:pPr>
        <w:spacing w:after="50"/>
        <w:rPr>
          <w:rFonts w:ascii="Times New Roman" w:hAnsi="Times New Roman" w:cs="Times New Roman"/>
          <w:color w:val="000000"/>
          <w:sz w:val="20"/>
          <w:szCs w:val="18"/>
        </w:rPr>
      </w:pPr>
      <w:r w:rsidRPr="004529C7">
        <w:rPr>
          <w:rFonts w:ascii="Times New Roman" w:hAnsi="Times New Roman" w:cs="Times New Roman"/>
          <w:color w:val="000000"/>
          <w:sz w:val="20"/>
          <w:szCs w:val="18"/>
        </w:rPr>
        <w:t>[</w:t>
      </w:r>
      <w:r w:rsidR="007B0D30" w:rsidRPr="004529C7">
        <w:rPr>
          <w:rFonts w:ascii="Times New Roman" w:hAnsi="Times New Roman" w:cs="Times New Roman"/>
          <w:color w:val="000000"/>
          <w:sz w:val="20"/>
          <w:szCs w:val="18"/>
        </w:rPr>
        <w:t>1</w:t>
      </w:r>
      <w:r w:rsidRPr="004529C7">
        <w:rPr>
          <w:rFonts w:ascii="Times New Roman" w:hAnsi="Times New Roman" w:cs="Times New Roman"/>
          <w:color w:val="000000"/>
          <w:sz w:val="20"/>
          <w:szCs w:val="18"/>
        </w:rPr>
        <w:t xml:space="preserve">] </w:t>
      </w:r>
      <w:r w:rsidR="009D4076" w:rsidRPr="009D4076">
        <w:rPr>
          <w:rFonts w:ascii="Times New Roman" w:hAnsi="Times New Roman" w:cs="Times New Roman"/>
          <w:color w:val="000000"/>
          <w:sz w:val="20"/>
          <w:szCs w:val="18"/>
        </w:rPr>
        <w:t>R4-2107614</w:t>
      </w:r>
      <w:r w:rsidR="009D4076">
        <w:rPr>
          <w:rFonts w:ascii="Times New Roman" w:hAnsi="Times New Roman" w:cs="Times New Roman"/>
          <w:color w:val="000000"/>
          <w:sz w:val="20"/>
          <w:szCs w:val="18"/>
        </w:rPr>
        <w:t xml:space="preserve">, </w:t>
      </w:r>
      <w:r w:rsidR="009D4076" w:rsidRPr="009D4076">
        <w:rPr>
          <w:rFonts w:ascii="Times New Roman" w:hAnsi="Times New Roman" w:cs="Times New Roman"/>
          <w:color w:val="000000"/>
          <w:sz w:val="20"/>
          <w:szCs w:val="18"/>
        </w:rPr>
        <w:t>LS on Timing Assumption for Inter-Cell DL Measurement</w:t>
      </w:r>
      <w:r w:rsidR="009D4076">
        <w:rPr>
          <w:rFonts w:ascii="Times New Roman" w:hAnsi="Times New Roman" w:cs="Times New Roman"/>
          <w:color w:val="000000"/>
          <w:sz w:val="20"/>
          <w:szCs w:val="18"/>
        </w:rPr>
        <w:t xml:space="preserve">, </w:t>
      </w:r>
      <w:r w:rsidR="009D4076" w:rsidRPr="009D4076">
        <w:rPr>
          <w:rFonts w:ascii="Times New Roman" w:hAnsi="Times New Roman" w:cs="Times New Roman"/>
          <w:color w:val="000000"/>
          <w:sz w:val="20"/>
          <w:szCs w:val="18"/>
        </w:rPr>
        <w:t>RAN1</w:t>
      </w:r>
    </w:p>
    <w:sectPr w:rsidR="007B2DC8" w:rsidRPr="004529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3BE" w:rsidRDefault="00C053BE">
      <w:r>
        <w:separator/>
      </w:r>
    </w:p>
  </w:endnote>
  <w:endnote w:type="continuationSeparator" w:id="0">
    <w:p w:rsidR="00C053BE" w:rsidRDefault="00C05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3BE" w:rsidRDefault="00C053BE">
      <w:r>
        <w:separator/>
      </w:r>
    </w:p>
  </w:footnote>
  <w:footnote w:type="continuationSeparator" w:id="0">
    <w:p w:rsidR="00C053BE" w:rsidRDefault="00C05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2428"/>
    <w:multiLevelType w:val="hybridMultilevel"/>
    <w:tmpl w:val="FAF8A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65969"/>
    <w:multiLevelType w:val="hybridMultilevel"/>
    <w:tmpl w:val="671AC064"/>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7" w15:restartNumberingAfterBreak="0">
    <w:nsid w:val="11CC7C96"/>
    <w:multiLevelType w:val="hybridMultilevel"/>
    <w:tmpl w:val="822A206C"/>
    <w:lvl w:ilvl="0" w:tplc="B134B2D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0954C5"/>
    <w:multiLevelType w:val="hybridMultilevel"/>
    <w:tmpl w:val="BA06125A"/>
    <w:lvl w:ilvl="0" w:tplc="00000065">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D613BB3"/>
    <w:multiLevelType w:val="hybridMultilevel"/>
    <w:tmpl w:val="FC2A9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9C1140"/>
    <w:multiLevelType w:val="hybridMultilevel"/>
    <w:tmpl w:val="867CE6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470E4B"/>
    <w:multiLevelType w:val="hybridMultilevel"/>
    <w:tmpl w:val="EF96D498"/>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D93868"/>
    <w:multiLevelType w:val="hybridMultilevel"/>
    <w:tmpl w:val="39FC04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F4E02"/>
    <w:multiLevelType w:val="hybridMultilevel"/>
    <w:tmpl w:val="9DD2EE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1B6AE8"/>
    <w:multiLevelType w:val="hybridMultilevel"/>
    <w:tmpl w:val="0DD4E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B506E"/>
    <w:multiLevelType w:val="hybridMultilevel"/>
    <w:tmpl w:val="AB46217C"/>
    <w:lvl w:ilvl="0" w:tplc="0409000F">
      <w:start w:val="1"/>
      <w:numFmt w:val="decimal"/>
      <w:lvlText w:val="%1."/>
      <w:lvlJc w:val="left"/>
      <w:pPr>
        <w:ind w:left="1048" w:hanging="480"/>
      </w:p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8"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754803"/>
    <w:multiLevelType w:val="hybridMultilevel"/>
    <w:tmpl w:val="F1F86E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1A1A8F"/>
    <w:multiLevelType w:val="hybridMultilevel"/>
    <w:tmpl w:val="37F07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B56CCF"/>
    <w:multiLevelType w:val="hybridMultilevel"/>
    <w:tmpl w:val="3148EDEE"/>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5" w15:restartNumberingAfterBreak="0">
    <w:nsid w:val="449F46AA"/>
    <w:multiLevelType w:val="hybridMultilevel"/>
    <w:tmpl w:val="455E90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7"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BCF7611"/>
    <w:multiLevelType w:val="hybridMultilevel"/>
    <w:tmpl w:val="C58E8D0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1"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2" w15:restartNumberingAfterBreak="0">
    <w:nsid w:val="60A724A6"/>
    <w:multiLevelType w:val="hybridMultilevel"/>
    <w:tmpl w:val="F1F86E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435261"/>
    <w:multiLevelType w:val="hybridMultilevel"/>
    <w:tmpl w:val="1FD47A44"/>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282F72"/>
    <w:multiLevelType w:val="hybridMultilevel"/>
    <w:tmpl w:val="F5E03E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41"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20"/>
  </w:num>
  <w:num w:numId="3">
    <w:abstractNumId w:val="4"/>
  </w:num>
  <w:num w:numId="4">
    <w:abstractNumId w:val="36"/>
  </w:num>
  <w:num w:numId="5">
    <w:abstractNumId w:val="5"/>
  </w:num>
  <w:num w:numId="6">
    <w:abstractNumId w:val="11"/>
  </w:num>
  <w:num w:numId="7">
    <w:abstractNumId w:val="34"/>
  </w:num>
  <w:num w:numId="8">
    <w:abstractNumId w:val="19"/>
  </w:num>
  <w:num w:numId="9">
    <w:abstractNumId w:val="3"/>
  </w:num>
  <w:num w:numId="10">
    <w:abstractNumId w:val="1"/>
  </w:num>
  <w:num w:numId="11">
    <w:abstractNumId w:val="18"/>
  </w:num>
  <w:num w:numId="12">
    <w:abstractNumId w:val="26"/>
  </w:num>
  <w:num w:numId="13">
    <w:abstractNumId w:val="30"/>
  </w:num>
  <w:num w:numId="14">
    <w:abstractNumId w:val="24"/>
  </w:num>
  <w:num w:numId="15">
    <w:abstractNumId w:val="31"/>
  </w:num>
  <w:num w:numId="16">
    <w:abstractNumId w:val="2"/>
  </w:num>
  <w:num w:numId="17">
    <w:abstractNumId w:val="41"/>
  </w:num>
  <w:num w:numId="18">
    <w:abstractNumId w:val="0"/>
  </w:num>
  <w:num w:numId="19">
    <w:abstractNumId w:val="10"/>
  </w:num>
  <w:num w:numId="20">
    <w:abstractNumId w:val="22"/>
  </w:num>
  <w:num w:numId="21">
    <w:abstractNumId w:val="25"/>
  </w:num>
  <w:num w:numId="22">
    <w:abstractNumId w:val="13"/>
  </w:num>
  <w:num w:numId="23">
    <w:abstractNumId w:val="28"/>
  </w:num>
  <w:num w:numId="24">
    <w:abstractNumId w:val="14"/>
  </w:num>
  <w:num w:numId="25">
    <w:abstractNumId w:val="29"/>
  </w:num>
  <w:num w:numId="26">
    <w:abstractNumId w:val="39"/>
  </w:num>
  <w:num w:numId="27">
    <w:abstractNumId w:val="15"/>
  </w:num>
  <w:num w:numId="28">
    <w:abstractNumId w:val="32"/>
  </w:num>
  <w:num w:numId="29">
    <w:abstractNumId w:val="21"/>
  </w:num>
  <w:num w:numId="30">
    <w:abstractNumId w:val="17"/>
  </w:num>
  <w:num w:numId="31">
    <w:abstractNumId w:val="6"/>
  </w:num>
  <w:num w:numId="32">
    <w:abstractNumId w:val="40"/>
  </w:num>
  <w:num w:numId="33">
    <w:abstractNumId w:val="23"/>
  </w:num>
  <w:num w:numId="34">
    <w:abstractNumId w:val="9"/>
  </w:num>
  <w:num w:numId="35">
    <w:abstractNumId w:val="27"/>
  </w:num>
  <w:num w:numId="36">
    <w:abstractNumId w:val="37"/>
  </w:num>
  <w:num w:numId="37">
    <w:abstractNumId w:val="33"/>
  </w:num>
  <w:num w:numId="38">
    <w:abstractNumId w:val="16"/>
  </w:num>
  <w:num w:numId="39">
    <w:abstractNumId w:val="38"/>
  </w:num>
  <w:num w:numId="40">
    <w:abstractNumId w:val="7"/>
  </w:num>
  <w:num w:numId="41">
    <w:abstractNumId w:val="12"/>
  </w:num>
  <w:num w:numId="4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1D"/>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3D"/>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6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1E8"/>
    <w:rsid w:val="00090ED4"/>
    <w:rsid w:val="000917DB"/>
    <w:rsid w:val="000917F0"/>
    <w:rsid w:val="00091F15"/>
    <w:rsid w:val="00091F51"/>
    <w:rsid w:val="00092D5C"/>
    <w:rsid w:val="0009343C"/>
    <w:rsid w:val="000934B5"/>
    <w:rsid w:val="00093B47"/>
    <w:rsid w:val="00093C0A"/>
    <w:rsid w:val="00094034"/>
    <w:rsid w:val="000942A1"/>
    <w:rsid w:val="000943A3"/>
    <w:rsid w:val="0009580C"/>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1EF"/>
    <w:rsid w:val="000A66CF"/>
    <w:rsid w:val="000A68FD"/>
    <w:rsid w:val="000A6A20"/>
    <w:rsid w:val="000A6FE8"/>
    <w:rsid w:val="000A7726"/>
    <w:rsid w:val="000A77F2"/>
    <w:rsid w:val="000B0A66"/>
    <w:rsid w:val="000B0A7F"/>
    <w:rsid w:val="000B0DD3"/>
    <w:rsid w:val="000B0DFE"/>
    <w:rsid w:val="000B198C"/>
    <w:rsid w:val="000B216F"/>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168"/>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9AB"/>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676"/>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1A73"/>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5A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30C"/>
    <w:rsid w:val="0022041B"/>
    <w:rsid w:val="0022066D"/>
    <w:rsid w:val="002208A0"/>
    <w:rsid w:val="00220BF7"/>
    <w:rsid w:val="002210AF"/>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012"/>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4F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931"/>
    <w:rsid w:val="00286E52"/>
    <w:rsid w:val="002873D1"/>
    <w:rsid w:val="00287627"/>
    <w:rsid w:val="002878F5"/>
    <w:rsid w:val="00287B58"/>
    <w:rsid w:val="00287FFD"/>
    <w:rsid w:val="002901B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969"/>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6D7"/>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55B"/>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06"/>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30"/>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49D"/>
    <w:rsid w:val="00331903"/>
    <w:rsid w:val="00331C6A"/>
    <w:rsid w:val="00332709"/>
    <w:rsid w:val="00332DF3"/>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567"/>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4CD"/>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B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295C"/>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7A"/>
    <w:rsid w:val="00414382"/>
    <w:rsid w:val="00414D64"/>
    <w:rsid w:val="00414DF1"/>
    <w:rsid w:val="004150F5"/>
    <w:rsid w:val="00415377"/>
    <w:rsid w:val="004153A3"/>
    <w:rsid w:val="00415BE6"/>
    <w:rsid w:val="004163D1"/>
    <w:rsid w:val="00416AEA"/>
    <w:rsid w:val="004176AE"/>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9C7"/>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1C80"/>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396"/>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0E27"/>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281"/>
    <w:rsid w:val="004C5700"/>
    <w:rsid w:val="004C5836"/>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1D7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8EB"/>
    <w:rsid w:val="00515995"/>
    <w:rsid w:val="00515ED9"/>
    <w:rsid w:val="005160A0"/>
    <w:rsid w:val="005163EA"/>
    <w:rsid w:val="0051647D"/>
    <w:rsid w:val="0051695A"/>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216"/>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919"/>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85"/>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389"/>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1CA"/>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31C"/>
    <w:rsid w:val="005E1A7C"/>
    <w:rsid w:val="005E1DAD"/>
    <w:rsid w:val="005E23F1"/>
    <w:rsid w:val="005E2455"/>
    <w:rsid w:val="005E27D9"/>
    <w:rsid w:val="005E2914"/>
    <w:rsid w:val="005E377D"/>
    <w:rsid w:val="005E38B2"/>
    <w:rsid w:val="005E40EE"/>
    <w:rsid w:val="005E4A4F"/>
    <w:rsid w:val="005E4C5C"/>
    <w:rsid w:val="005E530C"/>
    <w:rsid w:val="005E5A6D"/>
    <w:rsid w:val="005E6405"/>
    <w:rsid w:val="005E65D7"/>
    <w:rsid w:val="005E672F"/>
    <w:rsid w:val="005E69B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7B2"/>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0A4"/>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9D5"/>
    <w:rsid w:val="006B2A65"/>
    <w:rsid w:val="006B2BEE"/>
    <w:rsid w:val="006B2EDC"/>
    <w:rsid w:val="006B3106"/>
    <w:rsid w:val="006B338B"/>
    <w:rsid w:val="006B3406"/>
    <w:rsid w:val="006B3520"/>
    <w:rsid w:val="006B3812"/>
    <w:rsid w:val="006B38E5"/>
    <w:rsid w:val="006B3A2C"/>
    <w:rsid w:val="006B3ED4"/>
    <w:rsid w:val="006B4156"/>
    <w:rsid w:val="006B42AF"/>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445"/>
    <w:rsid w:val="0073379B"/>
    <w:rsid w:val="007340AC"/>
    <w:rsid w:val="0073413F"/>
    <w:rsid w:val="007345AC"/>
    <w:rsid w:val="00735A2C"/>
    <w:rsid w:val="007363C3"/>
    <w:rsid w:val="007365E3"/>
    <w:rsid w:val="00736B29"/>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BCD"/>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0AF6"/>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D30"/>
    <w:rsid w:val="007B0F99"/>
    <w:rsid w:val="007B1769"/>
    <w:rsid w:val="007B18C4"/>
    <w:rsid w:val="007B2844"/>
    <w:rsid w:val="007B2DC8"/>
    <w:rsid w:val="007B2EA5"/>
    <w:rsid w:val="007B308F"/>
    <w:rsid w:val="007B3345"/>
    <w:rsid w:val="007B33E8"/>
    <w:rsid w:val="007B352F"/>
    <w:rsid w:val="007B36B7"/>
    <w:rsid w:val="007B3799"/>
    <w:rsid w:val="007B3936"/>
    <w:rsid w:val="007B39FF"/>
    <w:rsid w:val="007B3BF1"/>
    <w:rsid w:val="007B3E0C"/>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9C"/>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31"/>
    <w:rsid w:val="007F2EE9"/>
    <w:rsid w:val="007F331E"/>
    <w:rsid w:val="007F4237"/>
    <w:rsid w:val="007F42A8"/>
    <w:rsid w:val="007F48DD"/>
    <w:rsid w:val="007F4BF3"/>
    <w:rsid w:val="007F4DCD"/>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50"/>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AB7"/>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3CA"/>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736"/>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6B"/>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A05"/>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6C8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5F86"/>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2E"/>
    <w:rsid w:val="00915AB7"/>
    <w:rsid w:val="00915B81"/>
    <w:rsid w:val="00915E48"/>
    <w:rsid w:val="00916157"/>
    <w:rsid w:val="009163F7"/>
    <w:rsid w:val="00916B9E"/>
    <w:rsid w:val="0091704E"/>
    <w:rsid w:val="009175A3"/>
    <w:rsid w:val="00917804"/>
    <w:rsid w:val="009178AE"/>
    <w:rsid w:val="00917C15"/>
    <w:rsid w:val="00920223"/>
    <w:rsid w:val="009206A4"/>
    <w:rsid w:val="009211DD"/>
    <w:rsid w:val="00921370"/>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154"/>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3A4"/>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7FA"/>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8CD"/>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5EB8"/>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5CC"/>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8"/>
    <w:rsid w:val="009D087D"/>
    <w:rsid w:val="009D0D3B"/>
    <w:rsid w:val="009D1CE4"/>
    <w:rsid w:val="009D2283"/>
    <w:rsid w:val="009D2729"/>
    <w:rsid w:val="009D29AD"/>
    <w:rsid w:val="009D3196"/>
    <w:rsid w:val="009D3D5A"/>
    <w:rsid w:val="009D4076"/>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700"/>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E7E59"/>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0C"/>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17A5D"/>
    <w:rsid w:val="00A2024B"/>
    <w:rsid w:val="00A20D44"/>
    <w:rsid w:val="00A215BE"/>
    <w:rsid w:val="00A2186C"/>
    <w:rsid w:val="00A21C59"/>
    <w:rsid w:val="00A22A6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AF2"/>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958"/>
    <w:rsid w:val="00A50AC8"/>
    <w:rsid w:val="00A50CD6"/>
    <w:rsid w:val="00A5107C"/>
    <w:rsid w:val="00A52E06"/>
    <w:rsid w:val="00A539BC"/>
    <w:rsid w:val="00A53AFE"/>
    <w:rsid w:val="00A5403C"/>
    <w:rsid w:val="00A5487D"/>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F40"/>
    <w:rsid w:val="00A9765F"/>
    <w:rsid w:val="00A9766F"/>
    <w:rsid w:val="00A97B0B"/>
    <w:rsid w:val="00AA00A6"/>
    <w:rsid w:val="00AA0186"/>
    <w:rsid w:val="00AA0E02"/>
    <w:rsid w:val="00AA100F"/>
    <w:rsid w:val="00AA102F"/>
    <w:rsid w:val="00AA1802"/>
    <w:rsid w:val="00AA1EAC"/>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152"/>
    <w:rsid w:val="00AB23F5"/>
    <w:rsid w:val="00AB2409"/>
    <w:rsid w:val="00AB2452"/>
    <w:rsid w:val="00AB290F"/>
    <w:rsid w:val="00AB2AF4"/>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89B"/>
    <w:rsid w:val="00AC3D37"/>
    <w:rsid w:val="00AC3DCD"/>
    <w:rsid w:val="00AC4355"/>
    <w:rsid w:val="00AC4A8C"/>
    <w:rsid w:val="00AC5065"/>
    <w:rsid w:val="00AC56C2"/>
    <w:rsid w:val="00AC5746"/>
    <w:rsid w:val="00AC589B"/>
    <w:rsid w:val="00AC5ACE"/>
    <w:rsid w:val="00AC5F02"/>
    <w:rsid w:val="00AC5FF5"/>
    <w:rsid w:val="00AC6324"/>
    <w:rsid w:val="00AC6C8E"/>
    <w:rsid w:val="00AC6F34"/>
    <w:rsid w:val="00AC70B0"/>
    <w:rsid w:val="00AC7460"/>
    <w:rsid w:val="00AD07DC"/>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2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735"/>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476"/>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402"/>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4D2"/>
    <w:rsid w:val="00B5388D"/>
    <w:rsid w:val="00B53B70"/>
    <w:rsid w:val="00B53CD0"/>
    <w:rsid w:val="00B540B9"/>
    <w:rsid w:val="00B545B4"/>
    <w:rsid w:val="00B54848"/>
    <w:rsid w:val="00B549CB"/>
    <w:rsid w:val="00B54F5C"/>
    <w:rsid w:val="00B554AC"/>
    <w:rsid w:val="00B55D39"/>
    <w:rsid w:val="00B56A0E"/>
    <w:rsid w:val="00B56D14"/>
    <w:rsid w:val="00B57047"/>
    <w:rsid w:val="00B572BE"/>
    <w:rsid w:val="00B577F3"/>
    <w:rsid w:val="00B57E0A"/>
    <w:rsid w:val="00B57E79"/>
    <w:rsid w:val="00B6034C"/>
    <w:rsid w:val="00B60555"/>
    <w:rsid w:val="00B6059E"/>
    <w:rsid w:val="00B607A1"/>
    <w:rsid w:val="00B6093A"/>
    <w:rsid w:val="00B60C33"/>
    <w:rsid w:val="00B6106B"/>
    <w:rsid w:val="00B61DA8"/>
    <w:rsid w:val="00B624E5"/>
    <w:rsid w:val="00B62D08"/>
    <w:rsid w:val="00B63337"/>
    <w:rsid w:val="00B6336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D50"/>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AF9"/>
    <w:rsid w:val="00BB4CB5"/>
    <w:rsid w:val="00BB5341"/>
    <w:rsid w:val="00BB55B7"/>
    <w:rsid w:val="00BB5817"/>
    <w:rsid w:val="00BB58BB"/>
    <w:rsid w:val="00BB5A07"/>
    <w:rsid w:val="00BB5C8D"/>
    <w:rsid w:val="00BB6434"/>
    <w:rsid w:val="00BB6450"/>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08F"/>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537"/>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4794"/>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3BE"/>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77"/>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2DD"/>
    <w:rsid w:val="00C83B43"/>
    <w:rsid w:val="00C83EBA"/>
    <w:rsid w:val="00C84A35"/>
    <w:rsid w:val="00C84BFA"/>
    <w:rsid w:val="00C85F51"/>
    <w:rsid w:val="00C864F2"/>
    <w:rsid w:val="00C869B0"/>
    <w:rsid w:val="00C86F5B"/>
    <w:rsid w:val="00C8714C"/>
    <w:rsid w:val="00C8753A"/>
    <w:rsid w:val="00C8784D"/>
    <w:rsid w:val="00C9038D"/>
    <w:rsid w:val="00C90724"/>
    <w:rsid w:val="00C907AB"/>
    <w:rsid w:val="00C90A9C"/>
    <w:rsid w:val="00C90DA7"/>
    <w:rsid w:val="00C90DC6"/>
    <w:rsid w:val="00C9101B"/>
    <w:rsid w:val="00C910D7"/>
    <w:rsid w:val="00C9180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28B"/>
    <w:rsid w:val="00C97411"/>
    <w:rsid w:val="00C97C50"/>
    <w:rsid w:val="00CA0940"/>
    <w:rsid w:val="00CA0BB5"/>
    <w:rsid w:val="00CA0DD7"/>
    <w:rsid w:val="00CA1A53"/>
    <w:rsid w:val="00CA270E"/>
    <w:rsid w:val="00CA31FD"/>
    <w:rsid w:val="00CA34AB"/>
    <w:rsid w:val="00CA35E2"/>
    <w:rsid w:val="00CA3933"/>
    <w:rsid w:val="00CA3D58"/>
    <w:rsid w:val="00CA5681"/>
    <w:rsid w:val="00CA56BC"/>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7C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70"/>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2B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5E7"/>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20F9"/>
    <w:rsid w:val="00D6349E"/>
    <w:rsid w:val="00D6353C"/>
    <w:rsid w:val="00D63646"/>
    <w:rsid w:val="00D640CB"/>
    <w:rsid w:val="00D643A0"/>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8C7"/>
    <w:rsid w:val="00D925B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A21"/>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45"/>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F25"/>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49EF"/>
    <w:rsid w:val="00DF574A"/>
    <w:rsid w:val="00DF5D00"/>
    <w:rsid w:val="00DF63EF"/>
    <w:rsid w:val="00DF6962"/>
    <w:rsid w:val="00DF70DF"/>
    <w:rsid w:val="00DF71EE"/>
    <w:rsid w:val="00DF7649"/>
    <w:rsid w:val="00DF76D5"/>
    <w:rsid w:val="00DF782F"/>
    <w:rsid w:val="00E00405"/>
    <w:rsid w:val="00E0059B"/>
    <w:rsid w:val="00E0086B"/>
    <w:rsid w:val="00E00CB6"/>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3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4A8"/>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25C"/>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46A8"/>
    <w:rsid w:val="00E84F71"/>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5DC"/>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1F6"/>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86B"/>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9BD"/>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17A"/>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3F0"/>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1938"/>
    <w:rsid w:val="00F21EE1"/>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1CF"/>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DA"/>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B54"/>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60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16D"/>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4794"/>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F479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F479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B,목록단락,Bullet"/>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2497970">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F8A-B8DB-493E-9902-7FC07833F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995</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2021-05-08T03:52:00Z</dcterms:created>
  <dcterms:modified xsi:type="dcterms:W3CDTF">2021-05-11T10:01:00Z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